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p>
      <w:pPr>
        <w:spacing w:line="300" w:lineRule="exact"/>
        <w:jc w:val="center"/>
        <w:rPr>
          <w:rFonts w:hint="default" w:ascii="Times New Roman" w:hAnsi="Times New Roman" w:eastAsia="楷体_GB2312" w:cs="Times New Roman"/>
          <w:sz w:val="24"/>
        </w:rPr>
      </w:pPr>
    </w:p>
    <w:p>
      <w:pPr>
        <w:spacing w:line="300" w:lineRule="exact"/>
        <w:jc w:val="center"/>
        <w:rPr>
          <w:rFonts w:hint="default" w:ascii="Times New Roman" w:hAnsi="Times New Roman" w:eastAsia="楷体_GB2312" w:cs="Times New Roman"/>
          <w:sz w:val="24"/>
        </w:rPr>
      </w:pPr>
    </w:p>
    <w:p>
      <w:pPr>
        <w:spacing w:line="300" w:lineRule="exact"/>
        <w:jc w:val="both"/>
        <w:rPr>
          <w:rFonts w:hint="default" w:ascii="Times New Roman" w:hAnsi="Times New Roman" w:eastAsia="楷体_GB2312" w:cs="Times New Roman"/>
          <w:sz w:val="24"/>
        </w:rPr>
      </w:pPr>
    </w:p>
    <w:p>
      <w:pPr>
        <w:spacing w:line="300" w:lineRule="exact"/>
        <w:jc w:val="both"/>
        <w:rPr>
          <w:rFonts w:hint="default" w:ascii="Times New Roman" w:hAnsi="Times New Roman" w:eastAsia="楷体_GB2312" w:cs="Times New Roman"/>
          <w:sz w:val="24"/>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川预学〔202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号</w:t>
      </w:r>
    </w:p>
    <w:p>
      <w:pPr>
        <w:rPr>
          <w:rFonts w:hint="default" w:ascii="Times New Roman" w:hAnsi="Times New Roman" w:eastAsia="仿宋_GB2312" w:cs="Times New Roman"/>
        </w:rPr>
      </w:pPr>
    </w:p>
    <w:p>
      <w:pPr>
        <w:jc w:val="center"/>
        <w:rPr>
          <w:rFonts w:hint="default" w:ascii="Times New Roman" w:hAnsi="Times New Roman" w:cs="Times New Roman"/>
          <w:sz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四川省预防医学会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sz w:val="44"/>
          <w:szCs w:val="44"/>
        </w:rPr>
        <w:t>关于推荐产前诊断与优生优育专委会第一届委员会</w:t>
      </w:r>
      <w:r>
        <w:rPr>
          <w:rFonts w:hint="eastAsia" w:ascii="方正小标宋简体" w:hAnsi="方正小标宋简体" w:eastAsia="方正小标宋简体" w:cs="方正小标宋简体"/>
          <w:sz w:val="44"/>
          <w:szCs w:val="44"/>
        </w:rPr>
        <w:t>委员候选人的通知</w:t>
      </w:r>
    </w:p>
    <w:p>
      <w:pPr>
        <w:widowControl/>
        <w:jc w:val="left"/>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四川省预防医学会章程》及《四川省预防医学会组织管理办法》等相关规定，经我会第四届三十次常务理事会研究同意，决定建立产前诊断与优生优育专委会。现将产前诊断与优生优育专委会第一届委员会委员候选人的推荐有关事宜通知如下： </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一、名额分配及建议名单</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四川省预防医学会产前诊断与优生优育专委会第一届委员会委员候选人名额分配及建议名单（见附件1）。</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二、委员候选人推选条件</w:t>
      </w:r>
    </w:p>
    <w:p>
      <w:pPr>
        <w:keepNext w:val="0"/>
        <w:keepLines w:val="0"/>
        <w:pageBreakBefore w:val="0"/>
        <w:widowControl/>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1.委员候</w:t>
      </w:r>
      <w:r>
        <w:rPr>
          <w:rFonts w:hint="eastAsia" w:ascii="仿宋_GB2312" w:hAnsi="仿宋_GB2312" w:eastAsia="仿宋_GB2312" w:cs="仿宋_GB2312"/>
          <w:spacing w:val="-11"/>
          <w:sz w:val="32"/>
          <w:szCs w:val="32"/>
        </w:rPr>
        <w:t>选人所在单位为四川省预防医学会单位会员。</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2.热心支持和承担学会工作，具有良好职业道德，学风正派。</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3.现从事本专业工作，具有较高学术水平，原则上具有副高以上技术职称（特殊情况下可适当放宽到具有中级专业技术职称）。</w:t>
      </w:r>
    </w:p>
    <w:p>
      <w:pPr>
        <w:keepNext w:val="0"/>
        <w:keepLines w:val="0"/>
        <w:pageBreakBefore w:val="0"/>
        <w:widowControl/>
        <w:kinsoku/>
        <w:wordWrap/>
        <w:overflowPunct/>
        <w:topLinePunct w:val="0"/>
        <w:autoSpaceDE/>
        <w:autoSpaceDN/>
        <w:bidi w:val="0"/>
        <w:spacing w:line="560" w:lineRule="exact"/>
        <w:ind w:firstLine="640" w:firstLineChars="200"/>
        <w:jc w:val="both"/>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4.有</w:t>
      </w:r>
      <w:r>
        <w:rPr>
          <w:rFonts w:hint="eastAsia" w:ascii="仿宋_GB2312" w:hAnsi="仿宋_GB2312" w:eastAsia="仿宋_GB2312" w:cs="仿宋_GB2312"/>
          <w:spacing w:val="-11"/>
          <w:sz w:val="32"/>
          <w:szCs w:val="32"/>
        </w:rPr>
        <w:t>较强的组织能力和社会活动能力，能联系和团结本地区该专业广大科技工作者，有带动区域内该专业发展的能力。</w:t>
      </w:r>
    </w:p>
    <w:p>
      <w:pPr>
        <w:keepNext w:val="0"/>
        <w:keepLines w:val="0"/>
        <w:pageBreakBefore w:val="0"/>
        <w:widowControl/>
        <w:kinsoku/>
        <w:wordWrap/>
        <w:overflowPunct/>
        <w:topLinePunct w:val="0"/>
        <w:autoSpaceDE/>
        <w:autoSpaceDN/>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5.委员候选人年龄不超过65岁，身体健康，在职在岗，能坚持日常工作。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三、表格填报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产前诊断与优生优育专委会</w:t>
      </w:r>
      <w:r>
        <w:rPr>
          <w:rFonts w:ascii="仿宋_GB2312" w:hAnsi="仿宋_GB2312" w:eastAsia="仿宋_GB2312" w:cs="仿宋_GB2312"/>
          <w:sz w:val="32"/>
          <w:szCs w:val="32"/>
        </w:rPr>
        <w:t>第</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届委员会委员候选人推荐表由本人填写。</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候选人推荐表的填报在“四川省预防医学会小程序”内进行。请参考（附件2）填报步骤提交申请。</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w:t>
      </w:r>
      <w:r>
        <w:rPr>
          <w:rFonts w:hint="eastAsia" w:ascii="仿宋_GB2312" w:hAnsi="仿宋_GB2312" w:eastAsia="仿宋_GB2312" w:cs="仿宋_GB2312"/>
          <w:spacing w:val="-11"/>
          <w:sz w:val="32"/>
          <w:szCs w:val="32"/>
        </w:rPr>
        <w:t>完善学会信息管理，原我会单位会员机构、新加入我会单位会员的机构，均需由单位填写四川省预防医学会（团体）单位会员登记表。登记表</w:t>
      </w:r>
      <w:r>
        <w:rPr>
          <w:rFonts w:ascii="仿宋_GB2312" w:hAnsi="仿宋_GB2312" w:eastAsia="仿宋_GB2312" w:cs="仿宋_GB2312"/>
          <w:spacing w:val="-11"/>
          <w:sz w:val="32"/>
          <w:szCs w:val="32"/>
        </w:rPr>
        <w:t>填报在“四川省预防医学会小程序”内进行，</w:t>
      </w:r>
      <w:r>
        <w:rPr>
          <w:rFonts w:hint="eastAsia" w:ascii="仿宋_GB2312" w:hAnsi="仿宋_GB2312" w:eastAsia="仿宋_GB2312" w:cs="仿宋_GB2312"/>
          <w:spacing w:val="-11"/>
          <w:sz w:val="32"/>
          <w:szCs w:val="32"/>
        </w:rPr>
        <w:t>请参考（附件2）填报步骤提交申请。（已按上述程序提交单位会员登记表的机构不再填写此表）。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四、注意事项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1.候选人如果是领导干部，请按国家相关规定履行领导干部兼职报批手续，并将批复同意兼职文件（或复印件）一并报送学会；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2.候选人如果来自军队相关单位，请按军队相关规定履行领导干部兼职报批手续，并将批复同意兼职文件（或复印件）一并报送学会；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候选人推荐表等相关表格，需由单位签署意见并加盖公章后</w:t>
      </w:r>
      <w:r>
        <w:rPr>
          <w:rFonts w:hint="eastAsia" w:ascii="仿宋_GB2312" w:hAnsi="仿宋_GB2312" w:eastAsia="仿宋_GB2312" w:cs="仿宋_GB2312"/>
          <w:color w:val="000000"/>
          <w:sz w:val="32"/>
          <w:szCs w:val="32"/>
        </w:rPr>
        <w:t>于</w:t>
      </w:r>
      <w:r>
        <w:rPr>
          <w:rFonts w:ascii="仿宋_GB2312" w:hAnsi="仿宋_GB2312" w:eastAsia="仿宋_GB2312" w:cs="仿宋_GB2312"/>
          <w:color w:val="000000"/>
          <w:spacing w:val="-20"/>
          <w:sz w:val="32"/>
          <w:szCs w:val="32"/>
        </w:rPr>
        <w:t>6</w:t>
      </w:r>
      <w:r>
        <w:rPr>
          <w:rFonts w:hint="eastAsia" w:ascii="仿宋_GB2312" w:hAnsi="仿宋_GB2312" w:eastAsia="仿宋_GB2312" w:cs="仿宋_GB2312"/>
          <w:color w:val="000000"/>
          <w:spacing w:val="-20"/>
          <w:sz w:val="32"/>
          <w:szCs w:val="32"/>
        </w:rPr>
        <w:t>月30日之前</w:t>
      </w:r>
      <w:r>
        <w:rPr>
          <w:rFonts w:hint="eastAsia" w:ascii="仿宋_GB2312" w:hAnsi="仿宋_GB2312" w:eastAsia="仿宋_GB2312" w:cs="仿宋_GB2312"/>
          <w:spacing w:val="-20"/>
          <w:sz w:val="32"/>
          <w:szCs w:val="32"/>
        </w:rPr>
        <w:t>在小程序内完成填写上传。</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候选人如不</w:t>
      </w:r>
      <w:r>
        <w:rPr>
          <w:rFonts w:hint="eastAsia" w:ascii="仿宋_GB2312" w:hAnsi="仿宋_GB2312" w:eastAsia="仿宋_GB2312" w:cs="仿宋_GB2312"/>
          <w:spacing w:val="-11"/>
          <w:sz w:val="32"/>
          <w:szCs w:val="32"/>
        </w:rPr>
        <w:t>按期报送推荐资料，视为自愿放弃委员资格。</w:t>
      </w:r>
    </w:p>
    <w:p>
      <w:pPr>
        <w:keepNext w:val="0"/>
        <w:keepLines w:val="0"/>
        <w:pageBreakBefore w:val="0"/>
        <w:kinsoku/>
        <w:wordWrap/>
        <w:overflowPunct/>
        <w:topLinePunct w:val="0"/>
        <w:autoSpaceDE/>
        <w:autoSpaceDN/>
        <w:bidi w:val="0"/>
        <w:adjustRightInd w:val="0"/>
        <w:snapToGrid w:val="0"/>
        <w:spacing w:line="56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五、联系方式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产前诊断与优生优育专委会</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olor w:val="000000"/>
          <w:sz w:val="32"/>
        </w:rPr>
        <w:t xml:space="preserve">胡 </w:t>
      </w:r>
      <w:r>
        <w:rPr>
          <w:rFonts w:ascii="仿宋_GB2312" w:hAnsi="仿宋_GB2312" w:eastAsia="仿宋_GB2312"/>
          <w:color w:val="000000"/>
          <w:sz w:val="32"/>
        </w:rPr>
        <w:t xml:space="preserve"> </w:t>
      </w:r>
      <w:r>
        <w:rPr>
          <w:rFonts w:hint="eastAsia" w:ascii="仿宋_GB2312" w:hAnsi="仿宋_GB2312" w:eastAsia="仿宋_GB2312"/>
          <w:color w:val="000000"/>
          <w:sz w:val="32"/>
        </w:rPr>
        <w:t xml:space="preserve">婷        </w:t>
      </w:r>
      <w:r>
        <w:rPr>
          <w:rFonts w:ascii="仿宋_GB2312" w:hAnsi="仿宋_GB2312" w:eastAsia="仿宋_GB2312"/>
          <w:color w:val="000000"/>
          <w:sz w:val="32"/>
        </w:rPr>
        <w:t>13980419556</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四川省预防医学会：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李香怡        </w:t>
      </w:r>
      <w:r>
        <w:rPr>
          <w:rFonts w:ascii="仿宋_GB2312" w:hAnsi="仿宋_GB2312" w:eastAsia="仿宋_GB2312" w:cs="仿宋_GB2312"/>
          <w:sz w:val="32"/>
          <w:szCs w:val="32"/>
        </w:rPr>
        <w:t>13981233015</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梁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露        </w:t>
      </w:r>
      <w:r>
        <w:rPr>
          <w:rFonts w:ascii="仿宋_GB2312" w:hAnsi="仿宋_GB2312" w:eastAsia="仿宋_GB2312" w:cs="仿宋_GB2312"/>
          <w:sz w:val="32"/>
          <w:szCs w:val="32"/>
        </w:rPr>
        <w:t>18408266213</w:t>
      </w:r>
    </w:p>
    <w:p>
      <w:pPr>
        <w:keepNext w:val="0"/>
        <w:keepLines w:val="0"/>
        <w:pageBreakBefore w:val="0"/>
        <w:kinsoku/>
        <w:wordWrap/>
        <w:overflowPunct/>
        <w:topLinePunct w:val="0"/>
        <w:autoSpaceDE/>
        <w:autoSpaceDN/>
        <w:bidi w:val="0"/>
        <w:adjustRightInd w:val="0"/>
        <w:snapToGrid w:val="0"/>
        <w:spacing w:line="560" w:lineRule="exact"/>
        <w:ind w:left="1918" w:leftChars="304" w:hanging="1280" w:hangingChars="400"/>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1918" w:leftChars="304" w:hanging="1280"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附件：1.四川省预防医学会产前诊断与优生优育专委会第一届</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委员候选人名额分配及建议名单</w:t>
      </w:r>
    </w:p>
    <w:p>
      <w:pPr>
        <w:keepNext w:val="0"/>
        <w:keepLines w:val="0"/>
        <w:pageBreakBefore w:val="0"/>
        <w:kinsoku/>
        <w:wordWrap/>
        <w:overflowPunct/>
        <w:topLinePunct w:val="0"/>
        <w:autoSpaceDE/>
        <w:autoSpaceDN/>
        <w:bidi w:val="0"/>
        <w:adjustRightInd w:val="0"/>
        <w:snapToGrid w:val="0"/>
        <w:spacing w:line="560" w:lineRule="exact"/>
        <w:ind w:firstLine="1600" w:firstLineChars="500"/>
        <w:rPr>
          <w:rFonts w:hint="eastAsia" w:ascii="仿宋_GB2312" w:hAnsi="黑体" w:eastAsia="仿宋_GB2312" w:cs="仿宋_GB2312"/>
          <w:sz w:val="32"/>
          <w:szCs w:val="32"/>
        </w:rPr>
      </w:pPr>
      <w:r>
        <w:rPr>
          <w:rFonts w:hint="eastAsia" w:ascii="仿宋_GB2312" w:hAnsi="仿宋_GB2312" w:eastAsia="仿宋_GB2312" w:cs="仿宋_GB2312"/>
          <w:sz w:val="32"/>
          <w:szCs w:val="32"/>
        </w:rPr>
        <w:t>2.</w:t>
      </w:r>
      <w:r>
        <w:rPr>
          <w:rFonts w:hint="eastAsia" w:ascii="仿宋_GB2312" w:hAnsi="黑体" w:eastAsia="仿宋_GB2312" w:cs="仿宋_GB2312"/>
          <w:sz w:val="32"/>
          <w:szCs w:val="32"/>
        </w:rPr>
        <w:t>申请表填报步骤流程</w:t>
      </w:r>
    </w:p>
    <w:p>
      <w:pPr>
        <w:keepNext w:val="0"/>
        <w:keepLines w:val="0"/>
        <w:pageBreakBefore w:val="0"/>
        <w:kinsoku/>
        <w:wordWrap/>
        <w:overflowPunct/>
        <w:topLinePunct w:val="0"/>
        <w:autoSpaceDE/>
        <w:autoSpaceDN/>
        <w:bidi w:val="0"/>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黑体" w:eastAsia="仿宋_GB2312" w:cs="仿宋_GB2312"/>
          <w:sz w:val="32"/>
          <w:szCs w:val="32"/>
        </w:rPr>
        <w:t>四川省预防医学会小程序二维码</w:t>
      </w:r>
    </w:p>
    <w:p>
      <w:pPr>
        <w:keepNext w:val="0"/>
        <w:keepLines w:val="0"/>
        <w:pageBreakBefore w:val="0"/>
        <w:kinsoku/>
        <w:wordWrap/>
        <w:overflowPunct/>
        <w:topLinePunct w:val="0"/>
        <w:autoSpaceDE/>
        <w:autoSpaceDN/>
        <w:bidi w:val="0"/>
        <w:adjustRightInd w:val="0"/>
        <w:snapToGrid w:val="0"/>
        <w:spacing w:line="560" w:lineRule="exact"/>
        <w:ind w:firstLine="4640" w:firstLineChars="1450"/>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4640" w:firstLineChars="1450"/>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4640" w:firstLineChars="1450"/>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4640" w:firstLineChars="14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四川省预防医学会</w:t>
      </w:r>
    </w:p>
    <w:p>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bCs/>
          <w:sz w:val="32"/>
          <w:szCs w:val="32"/>
        </w:rPr>
      </w:pPr>
      <w:r>
        <w:rPr>
          <w:rFonts w:hint="eastAsia" w:ascii="仿宋_GB2312" w:hAnsi="仿宋_GB2312" w:eastAsia="仿宋_GB2312" w:cs="仿宋_GB2312"/>
          <w:sz w:val="32"/>
          <w:szCs w:val="32"/>
        </w:rPr>
        <w:t xml:space="preserve">                      20</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黑体" w:hAnsi="黑体" w:eastAsia="黑体" w:cs="黑体"/>
          <w:bCs/>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黑体" w:hAnsi="黑体" w:eastAsia="黑体" w:cs="黑体"/>
          <w:bCs/>
          <w:sz w:val="32"/>
          <w:szCs w:val="32"/>
        </w:rPr>
      </w:pPr>
    </w:p>
    <w:p>
      <w:pPr>
        <w:adjustRightInd w:val="0"/>
        <w:snapToGrid w:val="0"/>
        <w:jc w:val="left"/>
        <w:rPr>
          <w:rFonts w:hint="eastAsia" w:ascii="黑体" w:hAnsi="黑体" w:eastAsia="黑体" w:cs="黑体"/>
          <w:bCs/>
          <w:sz w:val="32"/>
          <w:szCs w:val="32"/>
        </w:rPr>
      </w:pPr>
    </w:p>
    <w:p>
      <w:pPr>
        <w:adjustRightInd w:val="0"/>
        <w:snapToGrid w:val="0"/>
        <w:jc w:val="left"/>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jc w:val="left"/>
        <w:rPr>
          <w:rFonts w:hint="eastAsia" w:ascii="黑体" w:hAnsi="黑体" w:eastAsia="黑体" w:cs="黑体"/>
          <w:bCs/>
          <w:sz w:val="32"/>
          <w:szCs w:val="32"/>
        </w:rPr>
      </w:pPr>
    </w:p>
    <w:p>
      <w:pPr>
        <w:spacing w:line="560" w:lineRule="exact"/>
        <w:jc w:val="center"/>
        <w:rPr>
          <w:rFonts w:hint="eastAsia" w:ascii="方正小标宋简体" w:hAnsi="方正小标宋简体" w:eastAsia="方正小标宋简体" w:cs="方正小标宋简体"/>
          <w:sz w:val="36"/>
          <w:szCs w:val="36"/>
        </w:rPr>
      </w:pPr>
      <w:bookmarkStart w:id="0" w:name="_Hlk84673253"/>
      <w:r>
        <w:rPr>
          <w:rFonts w:hint="eastAsia" w:ascii="方正小标宋简体" w:hAnsi="方正小标宋简体" w:eastAsia="方正小标宋简体" w:cs="方正小标宋简体"/>
          <w:sz w:val="36"/>
          <w:szCs w:val="36"/>
        </w:rPr>
        <w:t>四川省预防医学会</w:t>
      </w:r>
    </w:p>
    <w:p>
      <w:pPr>
        <w:spacing w:line="560" w:lineRule="exact"/>
        <w:jc w:val="center"/>
        <w:rPr>
          <w:rFonts w:hint="eastAsia" w:ascii="方正小标宋简体" w:hAnsi="方正小标宋简体" w:eastAsia="方正小标宋简体" w:cs="方正小标宋简体"/>
          <w:sz w:val="36"/>
          <w:szCs w:val="36"/>
        </w:rPr>
      </w:pPr>
      <w:bookmarkStart w:id="1" w:name="_Hlk72499899"/>
      <w:r>
        <w:rPr>
          <w:rFonts w:hint="eastAsia" w:ascii="方正小标宋简体" w:hAnsi="方正小标宋简体" w:eastAsia="方正小标宋简体" w:cs="方正小标宋简体"/>
          <w:sz w:val="36"/>
          <w:szCs w:val="36"/>
        </w:rPr>
        <w:t>产前诊断与优生优育专委会第一届</w:t>
      </w:r>
      <w:r>
        <w:rPr>
          <w:rFonts w:ascii="方正小标宋简体" w:hAnsi="方正小标宋简体" w:eastAsia="方正小标宋简体" w:cs="方正小标宋简体"/>
          <w:sz w:val="36"/>
          <w:szCs w:val="36"/>
        </w:rPr>
        <w:t>委员会</w:t>
      </w:r>
      <w:r>
        <w:rPr>
          <w:rFonts w:hint="eastAsia" w:ascii="方正小标宋简体" w:hAnsi="方正小标宋简体" w:eastAsia="方正小标宋简体" w:cs="方正小标宋简体"/>
          <w:sz w:val="36"/>
          <w:szCs w:val="36"/>
        </w:rPr>
        <w:t>委员候选人</w:t>
      </w:r>
      <w:bookmarkEnd w:id="1"/>
      <w:r>
        <w:rPr>
          <w:rFonts w:hint="eastAsia" w:ascii="方正小标宋简体" w:hAnsi="方正小标宋简体" w:eastAsia="方正小标宋简体" w:cs="方正小标宋简体"/>
          <w:sz w:val="36"/>
          <w:szCs w:val="36"/>
        </w:rPr>
        <w:t>名额分配及建议名单</w:t>
      </w:r>
    </w:p>
    <w:bookmarkEnd w:id="0"/>
    <w:tbl>
      <w:tblPr>
        <w:tblStyle w:val="6"/>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740"/>
        <w:gridCol w:w="66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00" w:type="dxa"/>
            <w:shd w:val="clear" w:color="000000" w:fill="FFFFFF"/>
            <w:noWrap w:val="0"/>
            <w:vAlign w:val="center"/>
          </w:tcPr>
          <w:p>
            <w:pPr>
              <w:widowControl/>
              <w:jc w:val="center"/>
              <w:rPr>
                <w:rFonts w:eastAsia="等线"/>
                <w:b/>
                <w:bCs/>
                <w:color w:val="000000"/>
                <w:kern w:val="0"/>
                <w:sz w:val="24"/>
              </w:rPr>
            </w:pPr>
            <w:r>
              <w:rPr>
                <w:rFonts w:hint="eastAsia" w:ascii="仿宋_GB2312" w:eastAsia="仿宋_GB2312"/>
                <w:b/>
                <w:bCs/>
                <w:color w:val="000000"/>
                <w:kern w:val="0"/>
                <w:sz w:val="24"/>
              </w:rPr>
              <w:t>序号</w:t>
            </w:r>
          </w:p>
        </w:tc>
        <w:tc>
          <w:tcPr>
            <w:tcW w:w="3740" w:type="dxa"/>
            <w:shd w:val="clear" w:color="000000" w:fill="FFFFFF"/>
            <w:noWrap w:val="0"/>
            <w:vAlign w:val="center"/>
          </w:tcPr>
          <w:p>
            <w:pPr>
              <w:widowControl/>
              <w:jc w:val="center"/>
              <w:rPr>
                <w:rFonts w:eastAsia="等线"/>
                <w:b/>
                <w:bCs/>
                <w:color w:val="000000"/>
                <w:kern w:val="0"/>
                <w:sz w:val="24"/>
              </w:rPr>
            </w:pPr>
            <w:r>
              <w:rPr>
                <w:rFonts w:hint="eastAsia" w:ascii="仿宋_GB2312" w:eastAsia="仿宋_GB2312"/>
                <w:b/>
                <w:bCs/>
                <w:color w:val="000000"/>
                <w:kern w:val="0"/>
                <w:sz w:val="24"/>
              </w:rPr>
              <w:t>单位</w:t>
            </w:r>
          </w:p>
        </w:tc>
        <w:tc>
          <w:tcPr>
            <w:tcW w:w="660" w:type="dxa"/>
            <w:shd w:val="clear" w:color="000000" w:fill="FFFFFF"/>
            <w:noWrap w:val="0"/>
            <w:vAlign w:val="center"/>
          </w:tcPr>
          <w:p>
            <w:pPr>
              <w:widowControl/>
              <w:jc w:val="center"/>
              <w:rPr>
                <w:rFonts w:eastAsia="等线"/>
                <w:b/>
                <w:bCs/>
                <w:color w:val="000000"/>
                <w:kern w:val="0"/>
                <w:sz w:val="24"/>
              </w:rPr>
            </w:pPr>
            <w:r>
              <w:rPr>
                <w:rFonts w:hint="eastAsia" w:ascii="仿宋_GB2312" w:eastAsia="仿宋_GB2312"/>
                <w:b/>
                <w:bCs/>
                <w:color w:val="000000"/>
                <w:kern w:val="0"/>
                <w:sz w:val="24"/>
              </w:rPr>
              <w:t>名额</w:t>
            </w:r>
          </w:p>
        </w:tc>
        <w:tc>
          <w:tcPr>
            <w:tcW w:w="4160" w:type="dxa"/>
            <w:shd w:val="clear" w:color="000000" w:fill="FFFFFF"/>
            <w:noWrap w:val="0"/>
            <w:vAlign w:val="center"/>
          </w:tcPr>
          <w:p>
            <w:pPr>
              <w:widowControl/>
              <w:jc w:val="center"/>
              <w:rPr>
                <w:rFonts w:eastAsia="等线"/>
                <w:b/>
                <w:bCs/>
                <w:color w:val="000000"/>
                <w:kern w:val="0"/>
                <w:sz w:val="24"/>
              </w:rPr>
            </w:pPr>
            <w:r>
              <w:rPr>
                <w:rFonts w:hint="eastAsia" w:ascii="仿宋_GB2312" w:eastAsia="仿宋_GB2312"/>
                <w:b/>
                <w:bCs/>
                <w:color w:val="000000"/>
                <w:kern w:val="0"/>
                <w:sz w:val="24"/>
              </w:rPr>
              <w:t>建议候选人（或建议专业）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00" w:type="dxa"/>
            <w:shd w:val="clear" w:color="000000" w:fill="FFFFFF"/>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四川大学华西医院第二医院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刘珊玲、胡婷、唐英、曲海波、陈洪琴、张竹、孙玲玲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中国出生缺陷监测中心</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于萍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四川省医学科学院·四川省人民医院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杨季云、路涛、黄建美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四川省妇幼保健院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席娜、宋筱、陈春、何冠南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成都市妇女儿童中心医院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刘青松、陈艺菲、唐冬梅、杨泽萱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四川锦欣西囡妇女儿童医院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徐洲、张宏涛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成都市龙泉驿区妇幼保健院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高春元、付天明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成都市成华区妇幼保健院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杨帆、马卉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成都市武侯区妇幼保健院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金璇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成都市温江区妇幼保健院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雷颖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简阳市妇幼保健院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汪亚莉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12</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成都西区安琪儿妇产医院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王琳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13</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成都市中西医结合医院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齐小雪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自贡市妇幼保健院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金朝、叶强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15</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攀枝花市妇幼保健院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刘芳、谢佳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16</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攀枝花市中心医院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李驰花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17</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西南医科大学附属医院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张宇骄、胡鹏、庞春蓉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18</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德阳市人民医院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徐志红、张浩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绵阳市人民医院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尹唯、张瑞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绵阳市妇幼保健院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邓小芹、 未欢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绵阳市中心医院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于文亮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22</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江油市人民医院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刘萨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23</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广元市妇幼保健院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冯菊梅、刘玉蓉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24</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遂宁市中心医院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林芳、杨浩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25</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内江市妇幼保健院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陈丽霞、徐向英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26</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内江市第一人民医院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江梅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27</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内江市市中区妇幼保健院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张小灵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28</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乐山市妇幼保健院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胡军、赖欣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29</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乐山市市中区妇幼保健院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张应兰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30</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川北医学院附属医院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蔡燕、陈丽平、李蕊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南充市中心医院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陈思佳、张利平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32</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南充市顺庆区妇孺医院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陈耀华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33</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南充仪陇县妇幼保健院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刘丽霞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34</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眉山市妇幼保健院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杨雅莉、辜艳丽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35</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宜宾市第二人民医院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郑碧、党彩玲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36</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宜宾市翠屏区妇幼保健院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杨晓梅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37</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广安市人民医院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李毅、蒲丽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38</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达州市中西医结合医院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何学素、杨昕宇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39</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达州大竹县妇幼保健院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练丽峰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40</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雅安市人民医院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徐玲、喻世莉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汉源县人民医院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张翔芳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42</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巴中市中心医院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张兰、李妮娜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43</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巴中市巴州区妇幼保健院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罗亚丽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44</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资阳市雁江区妇幼保健计划生育服务中心</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张琼、张力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45</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安岳县妇幼保健院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唐燕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46</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阿坝藏族羌族自治州人民医院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曾琴、杨丽娟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47</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金川县人民医院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马莉萍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48</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汶川县人民医院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49</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甘孜藏族自治州人民医院</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亮亮、段凤梅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50</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凉山州妇幼保健计划生育服务中心</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吴琼、李华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51</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会理县妇幼保健计划生育服务中心</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杨盛玲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c>
          <w:tcPr>
            <w:tcW w:w="374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总计</w:t>
            </w:r>
          </w:p>
        </w:tc>
        <w:tc>
          <w:tcPr>
            <w:tcW w:w="6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92</w:t>
            </w:r>
          </w:p>
        </w:tc>
        <w:tc>
          <w:tcPr>
            <w:tcW w:w="4160" w:type="dxa"/>
            <w:shd w:val="clear" w:color="000000" w:fill="FFFFFF"/>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bl>
    <w:p>
      <w:pPr>
        <w:adjustRightInd w:val="0"/>
        <w:snapToGrid w:val="0"/>
        <w:rPr>
          <w:rFonts w:hint="eastAsia" w:ascii="黑体" w:hAnsi="黑体" w:eastAsia="黑体" w:cs="黑体"/>
          <w:bCs/>
          <w:sz w:val="32"/>
          <w:szCs w:val="32"/>
        </w:rPr>
      </w:pPr>
    </w:p>
    <w:p>
      <w:pPr>
        <w:adjustRightInd w:val="0"/>
        <w:snapToGrid w:val="0"/>
        <w:rPr>
          <w:rFonts w:hint="eastAsia"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p>
    <w:p>
      <w:pPr>
        <w:adjustRightInd w:val="0"/>
        <w:snapToGrid w:val="0"/>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w:t>
      </w:r>
    </w:p>
    <w:p>
      <w:pPr>
        <w:adjustRightInd w:val="0"/>
        <w:snapToGrid w:val="0"/>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黑体" w:eastAsia="方正小标宋简体" w:cs="仿宋_GB2312"/>
          <w:sz w:val="44"/>
          <w:szCs w:val="44"/>
        </w:rPr>
      </w:pPr>
      <w:bookmarkStart w:id="2" w:name="_Hlk72500339"/>
      <w:r>
        <w:rPr>
          <w:rFonts w:hint="eastAsia" w:ascii="方正小标宋简体" w:hAnsi="黑体" w:eastAsia="方正小标宋简体" w:cs="仿宋_GB2312"/>
          <w:sz w:val="44"/>
          <w:szCs w:val="44"/>
        </w:rPr>
        <w:t>申请表填报步骤流程</w:t>
      </w:r>
      <w:bookmarkEnd w:id="2"/>
    </w:p>
    <w:p>
      <w:pPr>
        <w:adjustRightInd w:val="0"/>
        <w:snapToGrid w:val="0"/>
        <w:spacing w:line="420" w:lineRule="exact"/>
        <w:ind w:firstLine="640" w:firstLineChars="200"/>
        <w:rPr>
          <w:rFonts w:hint="eastAsia" w:ascii="黑体" w:hAnsi="黑体" w:eastAsia="黑体" w:cs="仿宋_GB2312"/>
          <w:spacing w:val="-11"/>
          <w:sz w:val="32"/>
          <w:szCs w:val="32"/>
        </w:rPr>
      </w:pPr>
      <w:r>
        <w:rPr>
          <w:rFonts w:hint="eastAsia" w:ascii="黑体" w:hAnsi="黑体" w:eastAsia="黑体" w:cs="仿宋_GB2312"/>
          <w:sz w:val="32"/>
          <w:szCs w:val="32"/>
        </w:rPr>
        <w:t>一、</w:t>
      </w:r>
      <w:r>
        <w:rPr>
          <w:rFonts w:hint="eastAsia" w:ascii="黑体" w:hAnsi="黑体" w:eastAsia="黑体" w:cs="方正小标宋简体"/>
          <w:spacing w:val="-11"/>
          <w:sz w:val="32"/>
          <w:szCs w:val="32"/>
        </w:rPr>
        <w:t>产前诊断与优生优育专委会第一届</w:t>
      </w:r>
      <w:r>
        <w:rPr>
          <w:rFonts w:ascii="黑体" w:hAnsi="黑体" w:eastAsia="黑体" w:cs="方正小标宋简体"/>
          <w:spacing w:val="-11"/>
          <w:sz w:val="32"/>
          <w:szCs w:val="32"/>
        </w:rPr>
        <w:t>委员会</w:t>
      </w:r>
      <w:r>
        <w:rPr>
          <w:rFonts w:hint="eastAsia" w:ascii="黑体" w:hAnsi="黑体" w:eastAsia="黑体" w:cs="方正小标宋简体"/>
          <w:spacing w:val="-11"/>
          <w:sz w:val="32"/>
          <w:szCs w:val="32"/>
        </w:rPr>
        <w:t>委员候选人申请表填报步骤流程</w:t>
      </w:r>
    </w:p>
    <w:p>
      <w:pPr>
        <w:adjustRightInd w:val="0"/>
        <w:snapToGrid w:val="0"/>
        <w:spacing w:line="420" w:lineRule="exact"/>
        <w:ind w:left="640"/>
        <w:rPr>
          <w:rFonts w:hint="eastAsia" w:ascii="仿宋_GB2312" w:hAnsi="仿宋_GB2312" w:eastAsia="仿宋_GB2312" w:cs="仿宋_GB2312"/>
          <w:sz w:val="32"/>
          <w:szCs w:val="32"/>
        </w:rPr>
      </w:pPr>
      <w:bookmarkStart w:id="3" w:name="_Hlk72500141"/>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微信扫描（附件3）进入“四川省预防医学会小程序”。</w:t>
      </w:r>
      <w:bookmarkEnd w:id="3"/>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点击进入“组织管理”。</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点击“登录</w:t>
      </w:r>
      <w:r>
        <w:rPr>
          <w:rFonts w:ascii="仿宋_GB2312" w:hAnsi="仿宋_GB2312" w:eastAsia="仿宋_GB2312" w:cs="仿宋_GB2312"/>
          <w:sz w:val="32"/>
          <w:szCs w:val="32"/>
        </w:rPr>
        <w:t>/登记"</w:t>
      </w:r>
      <w:r>
        <w:rPr>
          <w:rFonts w:hint="eastAsia" w:ascii="仿宋_GB2312" w:hAnsi="仿宋_GB2312" w:eastAsia="仿宋_GB2312" w:cs="仿宋_GB2312"/>
          <w:sz w:val="32"/>
          <w:szCs w:val="32"/>
        </w:rPr>
        <w:t>。</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点击“登记”。</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点击“候选人推荐登记”</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点击“新登记”。</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选择组织机构“产前诊断与优生优育专委会”</w:t>
      </w:r>
      <w:r>
        <w:rPr>
          <w:rFonts w:hint="eastAsia" w:ascii="宋体" w:hAnsi="宋体" w:cs="宋体"/>
          <w:sz w:val="32"/>
          <w:szCs w:val="32"/>
        </w:rPr>
        <w:t>，</w:t>
      </w:r>
      <w:r>
        <w:rPr>
          <w:rFonts w:hint="eastAsia" w:ascii="仿宋_GB2312" w:hAnsi="仿宋_GB2312" w:eastAsia="仿宋_GB2312" w:cs="仿宋_GB2312"/>
          <w:sz w:val="32"/>
          <w:szCs w:val="32"/>
        </w:rPr>
        <w:t>填写“产前诊断与优生优育专委会第一届</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委员候选人推荐表”，内容均为必填选项。</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核对填写信息无误后，选择“提交”。</w:t>
      </w:r>
    </w:p>
    <w:p>
      <w:pPr>
        <w:adjustRightInd w:val="0"/>
        <w:snapToGrid w:val="0"/>
        <w:spacing w:line="42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下载并打印“产前诊断与优生优育专委会第一届</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委员候选人推荐表”（手机相册内），交由单位盖章。</w:t>
      </w:r>
    </w:p>
    <w:p>
      <w:pPr>
        <w:adjustRightInd w:val="0"/>
        <w:snapToGrid w:val="0"/>
        <w:spacing w:line="42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回到小程序内该版块上传盖章版“产前诊断与优生优育专委会”扫描件提交审核。</w:t>
      </w:r>
    </w:p>
    <w:p>
      <w:pPr>
        <w:adjustRightInd w:val="0"/>
        <w:snapToGrid w:val="0"/>
        <w:spacing w:line="4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黑体" w:hAnsi="黑体" w:eastAsia="黑体" w:cs="仿宋_GB2312"/>
          <w:sz w:val="32"/>
          <w:szCs w:val="32"/>
        </w:rPr>
        <w:t>二、四川省预防医学会单位会员申请流程</w:t>
      </w:r>
    </w:p>
    <w:p>
      <w:pPr>
        <w:adjustRightInd w:val="0"/>
        <w:snapToGrid w:val="0"/>
        <w:spacing w:line="42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 微信扫描（附件3）进入“四川省预防医学会小程序”。</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点击进入“组织管理”。</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点击“登录</w:t>
      </w:r>
      <w:r>
        <w:rPr>
          <w:rFonts w:ascii="仿宋_GB2312" w:hAnsi="仿宋_GB2312" w:eastAsia="仿宋_GB2312" w:cs="仿宋_GB2312"/>
          <w:sz w:val="32"/>
          <w:szCs w:val="32"/>
        </w:rPr>
        <w:t>/登记"</w:t>
      </w:r>
      <w:r>
        <w:rPr>
          <w:rFonts w:hint="eastAsia" w:ascii="仿宋_GB2312" w:hAnsi="仿宋_GB2312" w:eastAsia="仿宋_GB2312" w:cs="仿宋_GB2312"/>
          <w:sz w:val="32"/>
          <w:szCs w:val="32"/>
        </w:rPr>
        <w:t>。</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.点击“登记”。</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.点击“单位会员登记”。</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.填写“单位会员登记表”，内容均为必填选项。</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.核对填写信息无误后，选择“提交”。</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.下载并打印“单位会员登记表”，交由单位盖章。</w:t>
      </w:r>
    </w:p>
    <w:p>
      <w:pPr>
        <w:adjustRightInd w:val="0"/>
        <w:snapToGrid w:val="0"/>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.回到小程序内该版块上传盖章版“单位会员登记表”扫描件提交审核。</w:t>
      </w:r>
    </w:p>
    <w:p>
      <w:pPr>
        <w:adjustRightInd w:val="0"/>
        <w:snapToGrid w:val="0"/>
        <w:spacing w:line="420" w:lineRule="exact"/>
        <w:ind w:firstLine="640" w:firstLineChars="200"/>
        <w:rPr>
          <w:rFonts w:hint="eastAsia" w:ascii="仿宋_GB2312" w:hAnsi="仿宋_GB2312" w:eastAsia="仿宋_GB2312" w:cs="仿宋_GB2312"/>
          <w:sz w:val="32"/>
          <w:szCs w:val="32"/>
        </w:rPr>
      </w:pPr>
    </w:p>
    <w:p>
      <w:pPr>
        <w:adjustRightInd w:val="0"/>
        <w:snapToGrid w:val="0"/>
        <w:spacing w:line="4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如对步骤有疑问，请咨询刘欢，电话：</w:t>
      </w:r>
      <w:r>
        <w:rPr>
          <w:rFonts w:ascii="仿宋_GB2312" w:hAnsi="仿宋_GB2312" w:eastAsia="仿宋_GB2312" w:cs="仿宋_GB2312"/>
          <w:b/>
          <w:bCs/>
          <w:sz w:val="24"/>
        </w:rPr>
        <w:t>13897987546</w:t>
      </w:r>
      <w:r>
        <w:rPr>
          <w:rFonts w:hint="eastAsia" w:ascii="仿宋_GB2312" w:hAnsi="仿宋_GB2312" w:eastAsia="仿宋_GB2312" w:cs="仿宋_GB2312"/>
          <w:b/>
          <w:bCs/>
          <w:sz w:val="24"/>
        </w:rPr>
        <w:t>。</w:t>
      </w:r>
    </w:p>
    <w:p>
      <w:pPr>
        <w:adjustRightInd w:val="0"/>
        <w:snapToGrid w:val="0"/>
        <w:spacing w:line="500" w:lineRule="exact"/>
        <w:rPr>
          <w:rFonts w:ascii="黑体" w:hAnsi="黑体" w:eastAsia="黑体" w:cs="仿宋_GB2312"/>
          <w:sz w:val="32"/>
          <w:szCs w:val="32"/>
        </w:rPr>
      </w:pPr>
      <w:r>
        <w:rPr>
          <w:rFonts w:hint="eastAsia" w:ascii="黑体" w:hAnsi="黑体" w:eastAsia="黑体" w:cs="仿宋_GB2312"/>
          <w:sz w:val="32"/>
          <w:szCs w:val="32"/>
        </w:rPr>
        <w:t>附件3</w:t>
      </w:r>
    </w:p>
    <w:p>
      <w:pPr>
        <w:adjustRightInd w:val="0"/>
        <w:snapToGrid w:val="0"/>
        <w:spacing w:line="500" w:lineRule="exact"/>
        <w:ind w:firstLine="640" w:firstLineChars="200"/>
        <w:rPr>
          <w:rFonts w:hint="eastAsia" w:ascii="黑体" w:hAnsi="黑体" w:eastAsia="黑体" w:cs="仿宋_GB2312"/>
          <w:sz w:val="32"/>
          <w:szCs w:val="32"/>
        </w:rPr>
      </w:pPr>
    </w:p>
    <w:p>
      <w:pPr>
        <w:adjustRightInd w:val="0"/>
        <w:snapToGrid w:val="0"/>
        <w:spacing w:line="500" w:lineRule="exact"/>
        <w:jc w:val="center"/>
        <w:rPr>
          <w:rFonts w:ascii="方正小标宋简体" w:hAnsi="黑体" w:eastAsia="方正小标宋简体" w:cs="仿宋_GB2312"/>
          <w:sz w:val="36"/>
          <w:szCs w:val="36"/>
        </w:rPr>
      </w:pPr>
      <w:r>
        <w:rPr>
          <w:rFonts w:hint="eastAsia" w:ascii="方正小标宋简体" w:hAnsi="黑体" w:eastAsia="方正小标宋简体" w:cs="仿宋_GB2312"/>
          <w:sz w:val="36"/>
          <w:szCs w:val="36"/>
        </w:rPr>
        <w:t>四川省预防医学会小程序二维码</w:t>
      </w:r>
    </w:p>
    <w:p>
      <w:pPr>
        <w:rPr>
          <w:rFonts w:hint="eastAsia" w:ascii="黑体" w:hAnsi="黑体" w:eastAsia="黑体" w:cs="黑体"/>
          <w:sz w:val="32"/>
          <w:szCs w:val="32"/>
        </w:rPr>
      </w:pPr>
    </w:p>
    <w:p>
      <w:pPr>
        <w:rPr>
          <w:rFonts w:hint="eastAsia" w:ascii="黑体" w:hAnsi="黑体" w:eastAsia="黑体" w:cs="黑体"/>
          <w:sz w:val="32"/>
          <w:szCs w:val="32"/>
        </w:rPr>
      </w:pPr>
      <w:r>
        <w:drawing>
          <wp:anchor distT="0" distB="0" distL="114300" distR="114300" simplePos="0" relativeHeight="251659264" behindDoc="0" locked="0" layoutInCell="1" allowOverlap="1">
            <wp:simplePos x="0" y="0"/>
            <wp:positionH relativeFrom="column">
              <wp:posOffset>942975</wp:posOffset>
            </wp:positionH>
            <wp:positionV relativeFrom="paragraph">
              <wp:posOffset>314960</wp:posOffset>
            </wp:positionV>
            <wp:extent cx="3407410" cy="3407410"/>
            <wp:effectExtent l="0" t="0" r="2540" b="2540"/>
            <wp:wrapTopAndBottom/>
            <wp:docPr id="1" name="图片 2" descr="医学会小程序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医学会小程序码"/>
                    <pic:cNvPicPr>
                      <a:picLocks noChangeAspect="1"/>
                    </pic:cNvPicPr>
                  </pic:nvPicPr>
                  <pic:blipFill>
                    <a:blip r:embed="rId5"/>
                    <a:stretch>
                      <a:fillRect/>
                    </a:stretch>
                  </pic:blipFill>
                  <pic:spPr>
                    <a:xfrm>
                      <a:off x="0" y="0"/>
                      <a:ext cx="3407410" cy="3407410"/>
                    </a:xfrm>
                    <a:prstGeom prst="rect">
                      <a:avLst/>
                    </a:prstGeom>
                    <a:noFill/>
                    <a:ln>
                      <a:noFill/>
                    </a:ln>
                  </pic:spPr>
                </pic:pic>
              </a:graphicData>
            </a:graphic>
          </wp:anchor>
        </w:drawing>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Bdr>
          <w:top w:val="single" w:color="000000" w:sz="4" w:space="0"/>
          <w:bottom w:val="single" w:color="000000" w:sz="4" w:space="0"/>
        </w:pBdr>
        <w:spacing w:beforeAutospacing="0" w:afterAutospacing="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8"/>
          <w:szCs w:val="28"/>
        </w:rPr>
        <w:t>四川省预防医学会                      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bookmarkStart w:id="4" w:name="_GoBack"/>
      <w:bookmarkEnd w:id="4"/>
      <w:r>
        <w:rPr>
          <w:rFonts w:hint="default" w:ascii="Times New Roman" w:hAnsi="Times New Roman" w:eastAsia="仿宋_GB2312" w:cs="Times New Roman"/>
          <w:sz w:val="28"/>
          <w:szCs w:val="28"/>
        </w:rPr>
        <w:t>日印发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C5D30-15BF-40C4-8093-35291206E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FAB8E6-7128-4AD2-B75D-5A73D6EBEF38}"/>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6A0B92BD-25EC-4EB2-82BC-7CB270C2832B}"/>
  </w:font>
  <w:font w:name="楷体_GB2312">
    <w:altName w:val="楷体"/>
    <w:panose1 w:val="02010609030001010101"/>
    <w:charset w:val="86"/>
    <w:family w:val="auto"/>
    <w:pitch w:val="default"/>
    <w:sig w:usb0="00000001" w:usb1="080E0000" w:usb2="00000000" w:usb3="00000000" w:csb0="00040000" w:csb1="00000000"/>
    <w:embedRegular r:id="rId4" w:fontKey="{99D56650-7300-4ECC-B29C-9341DB3F8D5D}"/>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62C23BA0-F7EA-4A63-9431-105B3B8F898A}"/>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4EE5B78A-ECB2-44B0-910E-D630C768D7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MmU3YjgxZTQwMThhNTIzNDc2YTNkMjg2MTUwNjQifQ=="/>
  </w:docVars>
  <w:rsids>
    <w:rsidRoot w:val="00172A27"/>
    <w:rsid w:val="00021E44"/>
    <w:rsid w:val="000509F3"/>
    <w:rsid w:val="00085004"/>
    <w:rsid w:val="00086C5A"/>
    <w:rsid w:val="000974C2"/>
    <w:rsid w:val="000D4E1C"/>
    <w:rsid w:val="001243D9"/>
    <w:rsid w:val="00151039"/>
    <w:rsid w:val="00161209"/>
    <w:rsid w:val="00165DD3"/>
    <w:rsid w:val="00177865"/>
    <w:rsid w:val="00190E77"/>
    <w:rsid w:val="001A1EEA"/>
    <w:rsid w:val="001B5C76"/>
    <w:rsid w:val="001C3CF1"/>
    <w:rsid w:val="001E731A"/>
    <w:rsid w:val="001F4E51"/>
    <w:rsid w:val="00204961"/>
    <w:rsid w:val="002148B9"/>
    <w:rsid w:val="00246960"/>
    <w:rsid w:val="002520B5"/>
    <w:rsid w:val="00252926"/>
    <w:rsid w:val="00281CC6"/>
    <w:rsid w:val="002A53F4"/>
    <w:rsid w:val="002B45AE"/>
    <w:rsid w:val="002C44E3"/>
    <w:rsid w:val="002C63FF"/>
    <w:rsid w:val="002F27E0"/>
    <w:rsid w:val="002F2C67"/>
    <w:rsid w:val="00303A1E"/>
    <w:rsid w:val="003126FB"/>
    <w:rsid w:val="00330629"/>
    <w:rsid w:val="00333C7C"/>
    <w:rsid w:val="003450C3"/>
    <w:rsid w:val="00353840"/>
    <w:rsid w:val="00375153"/>
    <w:rsid w:val="00375424"/>
    <w:rsid w:val="0038402A"/>
    <w:rsid w:val="003B6C56"/>
    <w:rsid w:val="003F451C"/>
    <w:rsid w:val="00405062"/>
    <w:rsid w:val="00442F7D"/>
    <w:rsid w:val="004443FF"/>
    <w:rsid w:val="0045311B"/>
    <w:rsid w:val="00456448"/>
    <w:rsid w:val="00461AB0"/>
    <w:rsid w:val="00484BD6"/>
    <w:rsid w:val="004B410D"/>
    <w:rsid w:val="004B5EB7"/>
    <w:rsid w:val="004C4690"/>
    <w:rsid w:val="004D7D4E"/>
    <w:rsid w:val="00535892"/>
    <w:rsid w:val="00536066"/>
    <w:rsid w:val="00545AE5"/>
    <w:rsid w:val="005518DB"/>
    <w:rsid w:val="00557B66"/>
    <w:rsid w:val="00572AC8"/>
    <w:rsid w:val="00585C40"/>
    <w:rsid w:val="00597A35"/>
    <w:rsid w:val="005C07A2"/>
    <w:rsid w:val="005E35FD"/>
    <w:rsid w:val="006131A8"/>
    <w:rsid w:val="006244A7"/>
    <w:rsid w:val="006366F0"/>
    <w:rsid w:val="0067458F"/>
    <w:rsid w:val="006C7AFB"/>
    <w:rsid w:val="006D14FA"/>
    <w:rsid w:val="006D5862"/>
    <w:rsid w:val="006E12F2"/>
    <w:rsid w:val="00782224"/>
    <w:rsid w:val="00783A8D"/>
    <w:rsid w:val="007A5E33"/>
    <w:rsid w:val="00817F50"/>
    <w:rsid w:val="00820E45"/>
    <w:rsid w:val="00852449"/>
    <w:rsid w:val="00866562"/>
    <w:rsid w:val="0089422C"/>
    <w:rsid w:val="008D0402"/>
    <w:rsid w:val="008D1A64"/>
    <w:rsid w:val="008D3029"/>
    <w:rsid w:val="008D32EE"/>
    <w:rsid w:val="008F0756"/>
    <w:rsid w:val="008F78A4"/>
    <w:rsid w:val="0090533E"/>
    <w:rsid w:val="0092794A"/>
    <w:rsid w:val="009426C6"/>
    <w:rsid w:val="009A02F6"/>
    <w:rsid w:val="009C100A"/>
    <w:rsid w:val="009C5536"/>
    <w:rsid w:val="00A51E82"/>
    <w:rsid w:val="00A64705"/>
    <w:rsid w:val="00AA7F35"/>
    <w:rsid w:val="00AB4CBE"/>
    <w:rsid w:val="00AC64ED"/>
    <w:rsid w:val="00AD6DEF"/>
    <w:rsid w:val="00AD729F"/>
    <w:rsid w:val="00AF2D63"/>
    <w:rsid w:val="00B03612"/>
    <w:rsid w:val="00B201E5"/>
    <w:rsid w:val="00B57A22"/>
    <w:rsid w:val="00B63931"/>
    <w:rsid w:val="00B65452"/>
    <w:rsid w:val="00B7082F"/>
    <w:rsid w:val="00B73D69"/>
    <w:rsid w:val="00B84150"/>
    <w:rsid w:val="00B8545A"/>
    <w:rsid w:val="00BA7FDF"/>
    <w:rsid w:val="00BF2FD7"/>
    <w:rsid w:val="00C60A74"/>
    <w:rsid w:val="00C800CD"/>
    <w:rsid w:val="00C81703"/>
    <w:rsid w:val="00C83066"/>
    <w:rsid w:val="00C83193"/>
    <w:rsid w:val="00CB7881"/>
    <w:rsid w:val="00CC08D0"/>
    <w:rsid w:val="00CC121C"/>
    <w:rsid w:val="00CE5B14"/>
    <w:rsid w:val="00D063CB"/>
    <w:rsid w:val="00D26ECB"/>
    <w:rsid w:val="00D536B9"/>
    <w:rsid w:val="00D62CA5"/>
    <w:rsid w:val="00D67A1E"/>
    <w:rsid w:val="00D72116"/>
    <w:rsid w:val="00D82801"/>
    <w:rsid w:val="00D9384E"/>
    <w:rsid w:val="00DC6B2E"/>
    <w:rsid w:val="00DE2465"/>
    <w:rsid w:val="00E04F52"/>
    <w:rsid w:val="00E536D9"/>
    <w:rsid w:val="00E61D44"/>
    <w:rsid w:val="00E95B5B"/>
    <w:rsid w:val="00EA33C0"/>
    <w:rsid w:val="00EC21B5"/>
    <w:rsid w:val="00EE65D0"/>
    <w:rsid w:val="00EE7EF1"/>
    <w:rsid w:val="00EF016F"/>
    <w:rsid w:val="00EF47DD"/>
    <w:rsid w:val="00F3564E"/>
    <w:rsid w:val="00F56449"/>
    <w:rsid w:val="00F672B6"/>
    <w:rsid w:val="00FB5069"/>
    <w:rsid w:val="00FC1A7D"/>
    <w:rsid w:val="00FE6831"/>
    <w:rsid w:val="01773FAC"/>
    <w:rsid w:val="023C5736"/>
    <w:rsid w:val="029D518A"/>
    <w:rsid w:val="034F5C93"/>
    <w:rsid w:val="04086E08"/>
    <w:rsid w:val="0415770A"/>
    <w:rsid w:val="049A5568"/>
    <w:rsid w:val="06327CC9"/>
    <w:rsid w:val="06422256"/>
    <w:rsid w:val="07A23D1D"/>
    <w:rsid w:val="07B62CE5"/>
    <w:rsid w:val="07EB09C9"/>
    <w:rsid w:val="07EF6C05"/>
    <w:rsid w:val="08D255A7"/>
    <w:rsid w:val="097D7AE8"/>
    <w:rsid w:val="098A5D97"/>
    <w:rsid w:val="09BE4E1E"/>
    <w:rsid w:val="0C117D54"/>
    <w:rsid w:val="0C8C6A56"/>
    <w:rsid w:val="0E547440"/>
    <w:rsid w:val="10D92B83"/>
    <w:rsid w:val="118A5754"/>
    <w:rsid w:val="11BE2923"/>
    <w:rsid w:val="11E87263"/>
    <w:rsid w:val="134813B7"/>
    <w:rsid w:val="14E83FA8"/>
    <w:rsid w:val="15530A17"/>
    <w:rsid w:val="16552BF3"/>
    <w:rsid w:val="18FA5DC5"/>
    <w:rsid w:val="19465578"/>
    <w:rsid w:val="1A6E6B80"/>
    <w:rsid w:val="1AF7559E"/>
    <w:rsid w:val="1B50083B"/>
    <w:rsid w:val="1C737230"/>
    <w:rsid w:val="1E884A01"/>
    <w:rsid w:val="1ED2785A"/>
    <w:rsid w:val="1F2244C4"/>
    <w:rsid w:val="1FAD0817"/>
    <w:rsid w:val="1FB96B35"/>
    <w:rsid w:val="216B223A"/>
    <w:rsid w:val="22825B22"/>
    <w:rsid w:val="242750D2"/>
    <w:rsid w:val="2699323F"/>
    <w:rsid w:val="27F73CB2"/>
    <w:rsid w:val="28CC45FB"/>
    <w:rsid w:val="29172A6E"/>
    <w:rsid w:val="2D785F91"/>
    <w:rsid w:val="2F1D4C7B"/>
    <w:rsid w:val="2F514078"/>
    <w:rsid w:val="2F60541A"/>
    <w:rsid w:val="30955339"/>
    <w:rsid w:val="329F79A0"/>
    <w:rsid w:val="32DD25CE"/>
    <w:rsid w:val="351465A5"/>
    <w:rsid w:val="351D4AC3"/>
    <w:rsid w:val="3699410C"/>
    <w:rsid w:val="370C7E64"/>
    <w:rsid w:val="37123C2A"/>
    <w:rsid w:val="38851DD0"/>
    <w:rsid w:val="3ABA7EA8"/>
    <w:rsid w:val="3BE51FA1"/>
    <w:rsid w:val="3CCF1203"/>
    <w:rsid w:val="3D4D1023"/>
    <w:rsid w:val="42C11ACB"/>
    <w:rsid w:val="43884B64"/>
    <w:rsid w:val="445C694D"/>
    <w:rsid w:val="45136C4F"/>
    <w:rsid w:val="459922C9"/>
    <w:rsid w:val="461D67ED"/>
    <w:rsid w:val="46374E18"/>
    <w:rsid w:val="470616E0"/>
    <w:rsid w:val="488517A0"/>
    <w:rsid w:val="489E1105"/>
    <w:rsid w:val="48A529C0"/>
    <w:rsid w:val="493C3F64"/>
    <w:rsid w:val="49D219AC"/>
    <w:rsid w:val="4A0C4E66"/>
    <w:rsid w:val="4BA16EEF"/>
    <w:rsid w:val="4BBF754A"/>
    <w:rsid w:val="4BE96BAC"/>
    <w:rsid w:val="4E6C595B"/>
    <w:rsid w:val="4EB133BC"/>
    <w:rsid w:val="4EB86245"/>
    <w:rsid w:val="4F104895"/>
    <w:rsid w:val="4FAB5CEA"/>
    <w:rsid w:val="4FEC64E9"/>
    <w:rsid w:val="524F68D7"/>
    <w:rsid w:val="52750AB1"/>
    <w:rsid w:val="52FB63E3"/>
    <w:rsid w:val="5514264C"/>
    <w:rsid w:val="55B57C86"/>
    <w:rsid w:val="56D17B13"/>
    <w:rsid w:val="591373F7"/>
    <w:rsid w:val="59683716"/>
    <w:rsid w:val="59D6193C"/>
    <w:rsid w:val="5B3A77FE"/>
    <w:rsid w:val="5C6B25DD"/>
    <w:rsid w:val="5DF56DB1"/>
    <w:rsid w:val="5F640E04"/>
    <w:rsid w:val="5FD56F8A"/>
    <w:rsid w:val="604B3AE2"/>
    <w:rsid w:val="61000F74"/>
    <w:rsid w:val="616E7AB3"/>
    <w:rsid w:val="638D0364"/>
    <w:rsid w:val="69DB4238"/>
    <w:rsid w:val="6C2A1E7A"/>
    <w:rsid w:val="6CA572BA"/>
    <w:rsid w:val="6D30572E"/>
    <w:rsid w:val="6F9950EB"/>
    <w:rsid w:val="7245745F"/>
    <w:rsid w:val="74196973"/>
    <w:rsid w:val="76960B10"/>
    <w:rsid w:val="784E4B69"/>
    <w:rsid w:val="78FF2D03"/>
    <w:rsid w:val="798B17CB"/>
    <w:rsid w:val="79DF1CDB"/>
    <w:rsid w:val="7ADB01CB"/>
    <w:rsid w:val="7B3018CC"/>
    <w:rsid w:val="7DCD3F6E"/>
    <w:rsid w:val="7E194D96"/>
    <w:rsid w:val="7E954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link w:val="9"/>
    <w:uiPriority w:val="0"/>
    <w:rPr>
      <w:rFonts w:ascii="Calibri" w:hAnsi="Calibri" w:eastAsia="宋体" w:cs="Times New Roman"/>
    </w:rPr>
  </w:style>
  <w:style w:type="table" w:default="1" w:styleId="6">
    <w:name w:val="Normal Table"/>
    <w:uiPriority w:val="0"/>
    <w:rPr>
      <w:rFonts w:ascii="Calibri" w:hAnsi="Calibri" w:eastAsia="宋体" w:cs="Times New Roman"/>
    </w:rPr>
    <w:tblPr>
      <w:tblStyle w:val="6"/>
      <w:tblCellMar>
        <w:top w:w="0" w:type="dxa"/>
        <w:left w:w="108" w:type="dxa"/>
        <w:bottom w:w="0" w:type="dxa"/>
        <w:right w:w="108" w:type="dxa"/>
      </w:tblCellMar>
    </w:tblPr>
  </w:style>
  <w:style w:type="paragraph" w:styleId="2">
    <w:name w:val="Date"/>
    <w:basedOn w:val="1"/>
    <w:next w:val="1"/>
    <w:link w:val="11"/>
    <w:uiPriority w:val="0"/>
    <w:pPr>
      <w:ind w:left="100" w:leftChars="2500"/>
    </w:pPr>
    <w:rPr>
      <w:rFonts w:ascii="Calibri" w:hAnsi="Calibri" w:eastAsia="宋体" w:cs="Times New Roman"/>
    </w:rPr>
  </w:style>
  <w:style w:type="paragraph" w:styleId="3">
    <w:name w:val="Balloon Text"/>
    <w:basedOn w:val="1"/>
    <w:link w:val="12"/>
    <w:uiPriority w:val="0"/>
    <w:rPr>
      <w:rFonts w:ascii="Calibri" w:hAnsi="Calibri" w:eastAsia="宋体" w:cs="Times New Roman"/>
      <w:sz w:val="18"/>
      <w:szCs w:val="18"/>
    </w:rPr>
  </w:style>
  <w:style w:type="paragraph" w:styleId="4">
    <w:name w:val="footer"/>
    <w:basedOn w:val="1"/>
    <w:link w:val="13"/>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uiPriority w:val="0"/>
    <w:rPr>
      <w:rFonts w:ascii="Calibri" w:hAnsi="Calibri" w:eastAsia="宋体" w:cs="Times New Roman"/>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
    <w:basedOn w:val="1"/>
    <w:link w:val="8"/>
    <w:uiPriority w:val="0"/>
    <w:rPr>
      <w:rFonts w:ascii="Tahoma" w:hAnsi="Tahoma" w:eastAsia="宋体" w:cs="Times New Roman"/>
      <w:sz w:val="24"/>
      <w:szCs w:val="20"/>
    </w:rPr>
  </w:style>
  <w:style w:type="character" w:styleId="10">
    <w:name w:val="Hyperlink"/>
    <w:uiPriority w:val="0"/>
    <w:rPr>
      <w:rFonts w:ascii="Calibri" w:hAnsi="Calibri" w:eastAsia="宋体" w:cs="Times New Roman"/>
      <w:color w:val="0000FF"/>
      <w:u w:val="single"/>
    </w:rPr>
  </w:style>
  <w:style w:type="character" w:customStyle="1" w:styleId="11">
    <w:name w:val="日期 字符"/>
    <w:link w:val="2"/>
    <w:uiPriority w:val="0"/>
    <w:rPr>
      <w:rFonts w:ascii="Calibri" w:hAnsi="Calibri" w:eastAsia="宋体" w:cs="Times New Roman"/>
      <w:kern w:val="2"/>
      <w:sz w:val="21"/>
      <w:szCs w:val="24"/>
    </w:rPr>
  </w:style>
  <w:style w:type="character" w:customStyle="1" w:styleId="12">
    <w:name w:val="批注框文本 字符"/>
    <w:link w:val="3"/>
    <w:uiPriority w:val="0"/>
    <w:rPr>
      <w:rFonts w:ascii="Calibri" w:hAnsi="Calibri" w:eastAsia="宋体" w:cs="Times New Roman"/>
      <w:kern w:val="2"/>
      <w:sz w:val="18"/>
      <w:szCs w:val="18"/>
    </w:rPr>
  </w:style>
  <w:style w:type="character" w:customStyle="1" w:styleId="13">
    <w:name w:val="页脚 字符"/>
    <w:link w:val="4"/>
    <w:uiPriority w:val="0"/>
    <w:rPr>
      <w:rFonts w:ascii="Calibri" w:hAnsi="Calibri" w:eastAsia="宋体" w:cs="Times New Roman"/>
      <w:kern w:val="2"/>
      <w:sz w:val="18"/>
      <w:szCs w:val="18"/>
    </w:rPr>
  </w:style>
  <w:style w:type="character" w:customStyle="1" w:styleId="14">
    <w:name w:val="页眉 字符"/>
    <w:link w:val="5"/>
    <w:uiPriority w:val="0"/>
    <w:rPr>
      <w:rFonts w:ascii="Calibri" w:hAnsi="Calibri" w:eastAsia="宋体" w:cs="Times New Roman"/>
      <w:kern w:val="2"/>
      <w:sz w:val="18"/>
      <w:szCs w:val="18"/>
    </w:rPr>
  </w:style>
  <w:style w:type="paragraph" w:customStyle="1" w:styleId="15">
    <w:name w:val="Body text|1"/>
    <w:basedOn w:val="1"/>
    <w:uiPriority w:val="0"/>
    <w:pPr>
      <w:widowControl w:val="0"/>
      <w:shd w:val="clear" w:color="auto" w:fill="auto"/>
      <w:spacing w:line="322" w:lineRule="auto"/>
      <w:ind w:firstLine="400"/>
    </w:pPr>
    <w:rPr>
      <w:rFonts w:ascii="宋体" w:hAnsi="宋体" w:eastAsia="宋体" w:cs="宋体"/>
      <w:sz w:val="30"/>
      <w:szCs w:val="30"/>
      <w:u w:val="none"/>
      <w:shd w:val="clear" w:color="auto" w:fill="auto"/>
      <w:lang w:val="zh-TW" w:eastAsia="zh-TW" w:bidi="zh-TW"/>
    </w:rPr>
  </w:style>
  <w:style w:type="character" w:customStyle="1" w:styleId="16">
    <w:name w:val="font111"/>
    <w:uiPriority w:val="0"/>
    <w:rPr>
      <w:rFonts w:hint="eastAsia" w:ascii="宋体" w:hAnsi="宋体" w:eastAsia="宋体" w:cs="宋体"/>
      <w:color w:val="000000"/>
      <w:sz w:val="22"/>
      <w:szCs w:val="22"/>
      <w:u w:val="none"/>
    </w:rPr>
  </w:style>
  <w:style w:type="character" w:customStyle="1" w:styleId="17">
    <w:name w:val="font81"/>
    <w:uiPriority w:val="0"/>
    <w:rPr>
      <w:rFonts w:hint="eastAsia" w:ascii="宋体" w:hAnsi="宋体" w:eastAsia="宋体" w:cs="宋体"/>
      <w:color w:val="000000"/>
      <w:sz w:val="24"/>
      <w:szCs w:val="24"/>
      <w:u w:val="none"/>
    </w:rPr>
  </w:style>
  <w:style w:type="character" w:customStyle="1" w:styleId="18">
    <w:name w:val="font21"/>
    <w:uiPriority w:val="0"/>
    <w:rPr>
      <w:rFonts w:hint="default" w:ascii="Times New Roman" w:hAnsi="Times New Roman" w:eastAsia="宋体" w:cs="Times New Roman"/>
      <w:color w:val="000000"/>
      <w:sz w:val="22"/>
      <w:szCs w:val="22"/>
      <w:u w:val="none"/>
    </w:rPr>
  </w:style>
  <w:style w:type="character" w:customStyle="1" w:styleId="19">
    <w:name w:val="font71"/>
    <w:uiPriority w:val="0"/>
    <w:rPr>
      <w:rFonts w:ascii="仿宋_GB2312" w:hAnsi="Calibri" w:eastAsia="仿宋_GB2312" w:cs="仿宋_GB2312"/>
      <w:color w:val="000000"/>
      <w:sz w:val="24"/>
      <w:szCs w:val="24"/>
      <w:u w:val="none"/>
    </w:rPr>
  </w:style>
  <w:style w:type="paragraph" w:customStyle="1" w:styleId="20">
    <w:name w:val="列出段落1"/>
    <w:basedOn w:val="1"/>
    <w:uiPriority w:val="0"/>
    <w:pPr>
      <w:ind w:firstLine="420" w:firstLineChars="200"/>
    </w:pPr>
    <w:rPr>
      <w:rFonts w:ascii="Calibri" w:hAnsi="Calibri" w:eastAsia="宋体" w:cs="Times New Roman"/>
    </w:rPr>
  </w:style>
  <w:style w:type="paragraph" w:styleId="21">
    <w:name w:val="List Paragraph"/>
    <w:basedOn w:val="1"/>
    <w:qFormat/>
    <w:uiPriority w:val="0"/>
    <w:pPr>
      <w:ind w:firstLine="420" w:firstLineChars="200"/>
    </w:pPr>
    <w:rPr>
      <w:rFonts w:ascii="Calibri" w:hAnsi="Calibri" w:eastAsia="宋体" w:cs="Times New Roman"/>
      <w:szCs w:val="22"/>
    </w:rPr>
  </w:style>
  <w:style w:type="paragraph" w:customStyle="1" w:styleId="22">
    <w:name w:val=" Char Char Char Char Char Char Char Char Char Char"/>
    <w:basedOn w:val="1"/>
    <w:uiPriority w:val="0"/>
    <w:rPr>
      <w:rFonts w:ascii="Calibri" w:hAnsi="Calibri" w:eastAsia="宋体" w:cs="Times New Roman"/>
    </w:rPr>
  </w:style>
  <w:style w:type="table" w:customStyle="1" w:styleId="23">
    <w:name w:val="网格型1"/>
    <w:basedOn w:val="24"/>
    <w:uiPriority w:val="0"/>
    <w:rPr>
      <w:rFonts w:ascii="Calibri" w:hAnsi="Calibri" w:eastAsia="宋体"/>
    </w:rPr>
    <w:tblPr>
      <w:tblStyle w:val="6"/>
    </w:tblPr>
  </w:style>
  <w:style w:type="table" w:customStyle="1" w:styleId="24">
    <w:name w:val="普通表格1"/>
    <w:qFormat/>
    <w:uiPriority w:val="0"/>
    <w:rPr>
      <w:rFonts w:ascii="Calibri" w:hAnsi="Calibri" w:eastAsia="宋体"/>
    </w:rPr>
    <w:tblPr>
      <w:tblStyle w:val="6"/>
    </w:tblPr>
  </w:style>
  <w:style w:type="paragraph" w:customStyle="1" w:styleId="25">
    <w:name w:val="页脚1"/>
    <w:basedOn w:val="1"/>
    <w:qFormat/>
    <w:uiPriority w:val="0"/>
    <w:pPr>
      <w:tabs>
        <w:tab w:val="center" w:pos="4153"/>
        <w:tab w:val="right" w:pos="8306"/>
      </w:tabs>
      <w:snapToGrid w:val="0"/>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SCCDC</Company>
  <Pages>6</Pages>
  <Words>1233</Words>
  <Characters>1485</Characters>
  <Lines>10</Lines>
  <Paragraphs>3</Paragraphs>
  <TotalTime>2</TotalTime>
  <ScaleCrop>false</ScaleCrop>
  <LinksUpToDate>false</LinksUpToDate>
  <CharactersWithSpaces>1564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2013-09-28T06:14:00Z</dcterms:created>
  <dc:creator>微软用户</dc:creator>
  <cp:lastModifiedBy>洋芋</cp:lastModifiedBy>
  <cp:lastPrinted>2023-05-30T08:23:45Z</cp:lastPrinted>
  <dcterms:modified xsi:type="dcterms:W3CDTF">2023-05-30T08:24:27Z</dcterms:modified>
  <dc:title>川预学〔2013〕61号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73DFF3134D4C4696B1F86F373BBBAC73_13</vt:lpwstr>
  </property>
</Properties>
</file>