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6BEF2">
      <w:pPr>
        <w:spacing w:line="240" w:lineRule="auto"/>
        <w:ind w:firstLine="0" w:firstLineChars="0"/>
        <w:jc w:val="left"/>
        <w:rPr>
          <w:rFonts w:hint="default" w:ascii="Times New Roman" w:hAnsi="Times New Roman" w:eastAsia="黑体" w:cs="Times New Roman"/>
          <w:szCs w:val="32"/>
          <w:lang w:val="en-US" w:eastAsia="zh-CN"/>
        </w:rPr>
      </w:pPr>
      <w:r>
        <w:rPr>
          <w:rFonts w:ascii="Times New Roman" w:hAnsi="Times New Roman" w:eastAsia="黑体" w:cs="Times New Roman"/>
          <w:szCs w:val="32"/>
          <w:lang w:val="en-US"/>
        </w:rPr>
        <w:t>附件</w:t>
      </w:r>
      <w:r>
        <w:rPr>
          <w:rFonts w:hint="default" w:ascii="Times New Roman" w:hAnsi="Times New Roman" w:eastAsia="黑体" w:cs="Times New Roman"/>
          <w:szCs w:val="32"/>
          <w:lang w:val="en-US" w:eastAsia="zh-CN"/>
        </w:rPr>
        <w:t>1</w:t>
      </w:r>
    </w:p>
    <w:p w14:paraId="62B82E3E">
      <w:pPr>
        <w:spacing w:line="560" w:lineRule="exact"/>
        <w:ind w:firstLine="0" w:firstLineChars="0"/>
        <w:jc w:val="center"/>
        <w:rPr>
          <w:rFonts w:ascii="Times New Roman" w:hAnsi="Times New Roman" w:eastAsia="方正小标宋简体" w:cs="Times New Roman"/>
          <w:kern w:val="0"/>
          <w:sz w:val="40"/>
          <w:szCs w:val="40"/>
          <w:lang w:val="en-US" w:bidi="ar"/>
        </w:rPr>
      </w:pPr>
      <w:bookmarkStart w:id="0" w:name="_GoBack"/>
      <w:r>
        <w:rPr>
          <w:rFonts w:ascii="Times New Roman" w:hAnsi="Times New Roman" w:eastAsia="方正小标宋简体" w:cs="Times New Roman"/>
          <w:kern w:val="0"/>
          <w:sz w:val="40"/>
          <w:szCs w:val="40"/>
          <w:lang w:val="en-US" w:bidi="ar"/>
        </w:rPr>
        <w:t>四川省预防医学会2024年度授奖论文</w:t>
      </w:r>
    </w:p>
    <w:p w14:paraId="4ED2E2AE">
      <w:pPr>
        <w:spacing w:line="560" w:lineRule="exact"/>
        <w:ind w:firstLine="0" w:firstLineChars="0"/>
        <w:jc w:val="center"/>
        <w:rPr>
          <w:rFonts w:ascii="Times New Roman" w:hAnsi="Times New Roman" w:eastAsia="方正小标宋简体" w:cs="Times New Roman"/>
          <w:kern w:val="0"/>
          <w:sz w:val="40"/>
          <w:szCs w:val="40"/>
          <w:lang w:val="en-US" w:bidi="ar"/>
        </w:rPr>
      </w:pPr>
      <w:r>
        <w:rPr>
          <w:rFonts w:ascii="Times New Roman" w:hAnsi="Times New Roman" w:eastAsia="方正小标宋简体" w:cs="Times New Roman"/>
          <w:kern w:val="0"/>
          <w:sz w:val="40"/>
          <w:szCs w:val="40"/>
          <w:lang w:val="en-US" w:bidi="ar"/>
        </w:rPr>
        <w:t>（优秀论文/青年优秀论文）</w:t>
      </w:r>
    </w:p>
    <w:bookmarkEnd w:id="0"/>
    <w:p w14:paraId="0B4F051B">
      <w:pPr>
        <w:spacing w:line="240" w:lineRule="auto"/>
        <w:ind w:firstLine="0" w:firstLineChars="0"/>
        <w:jc w:val="center"/>
        <w:rPr>
          <w:rFonts w:ascii="Times New Roman" w:hAnsi="Times New Roman" w:eastAsia="宋体" w:cs="Times New Roman"/>
          <w:b/>
          <w:bCs/>
          <w:sz w:val="28"/>
          <w:szCs w:val="36"/>
          <w:lang w:val="en-US"/>
        </w:rPr>
      </w:pPr>
    </w:p>
    <w:p w14:paraId="718392C1">
      <w:pPr>
        <w:spacing w:line="240" w:lineRule="auto"/>
        <w:ind w:firstLine="0" w:firstLineChars="0"/>
        <w:jc w:val="center"/>
        <w:rPr>
          <w:rFonts w:ascii="Times New Roman" w:hAnsi="Times New Roman" w:cs="Times New Roman"/>
          <w:b/>
          <w:bCs/>
          <w:szCs w:val="40"/>
          <w:lang w:val="en-US"/>
        </w:rPr>
      </w:pPr>
      <w:r>
        <w:rPr>
          <w:rFonts w:ascii="Times New Roman" w:hAnsi="Times New Roman" w:cs="Times New Roman"/>
          <w:b/>
          <w:bCs/>
          <w:szCs w:val="40"/>
          <w:lang w:val="en-US"/>
        </w:rPr>
        <w:t>优秀论文</w:t>
      </w:r>
    </w:p>
    <w:tbl>
      <w:tblPr>
        <w:tblStyle w:val="3"/>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280"/>
        <w:gridCol w:w="1354"/>
        <w:gridCol w:w="2952"/>
      </w:tblGrid>
      <w:tr w14:paraId="2D22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0" w:type="dxa"/>
            <w:vAlign w:val="center"/>
          </w:tcPr>
          <w:p w14:paraId="5FA1EDEC">
            <w:pPr>
              <w:widowControl/>
              <w:spacing w:line="240" w:lineRule="exact"/>
              <w:ind w:firstLine="0" w:firstLineChars="0"/>
              <w:jc w:val="center"/>
              <w:textAlignment w:val="center"/>
              <w:rPr>
                <w:rFonts w:ascii="Times New Roman" w:hAnsi="Times New Roman" w:eastAsia="仿宋" w:cs="Times New Roman"/>
                <w:b/>
                <w:bCs/>
                <w:color w:val="000000"/>
                <w:kern w:val="0"/>
                <w:sz w:val="28"/>
                <w:szCs w:val="28"/>
                <w:lang w:val="en-US" w:bidi="ar"/>
              </w:rPr>
            </w:pPr>
            <w:r>
              <w:rPr>
                <w:rFonts w:ascii="Times New Roman" w:hAnsi="Times New Roman" w:eastAsia="仿宋" w:cs="Times New Roman"/>
                <w:b/>
                <w:bCs/>
                <w:color w:val="000000"/>
                <w:kern w:val="0"/>
                <w:sz w:val="28"/>
                <w:szCs w:val="28"/>
                <w:lang w:val="en-US" w:bidi="ar"/>
              </w:rPr>
              <w:t>序号</w:t>
            </w:r>
          </w:p>
        </w:tc>
        <w:tc>
          <w:tcPr>
            <w:tcW w:w="4280" w:type="dxa"/>
            <w:vAlign w:val="center"/>
          </w:tcPr>
          <w:p w14:paraId="623161A8">
            <w:pPr>
              <w:widowControl/>
              <w:spacing w:line="240" w:lineRule="exact"/>
              <w:ind w:firstLine="0" w:firstLineChars="0"/>
              <w:jc w:val="center"/>
              <w:textAlignment w:val="center"/>
              <w:rPr>
                <w:rFonts w:ascii="Times New Roman" w:hAnsi="Times New Roman" w:eastAsia="仿宋" w:cs="Times New Roman"/>
                <w:b/>
                <w:bCs/>
                <w:color w:val="000000"/>
                <w:kern w:val="0"/>
                <w:sz w:val="28"/>
                <w:szCs w:val="28"/>
                <w:lang w:val="en-US" w:bidi="ar"/>
              </w:rPr>
            </w:pPr>
            <w:r>
              <w:rPr>
                <w:rFonts w:ascii="Times New Roman" w:hAnsi="Times New Roman" w:eastAsia="仿宋" w:cs="Times New Roman"/>
                <w:b/>
                <w:bCs/>
                <w:color w:val="000000"/>
                <w:kern w:val="0"/>
                <w:sz w:val="28"/>
                <w:szCs w:val="28"/>
                <w:lang w:val="en-US" w:bidi="ar"/>
              </w:rPr>
              <w:t>论文名称</w:t>
            </w:r>
          </w:p>
        </w:tc>
        <w:tc>
          <w:tcPr>
            <w:tcW w:w="1354" w:type="dxa"/>
            <w:vAlign w:val="center"/>
          </w:tcPr>
          <w:p w14:paraId="1B7C4B97">
            <w:pPr>
              <w:widowControl/>
              <w:spacing w:line="240" w:lineRule="exact"/>
              <w:ind w:firstLine="0" w:firstLineChars="0"/>
              <w:jc w:val="center"/>
              <w:textAlignment w:val="center"/>
              <w:rPr>
                <w:rFonts w:hint="default" w:ascii="Times New Roman" w:hAnsi="Times New Roman" w:eastAsia="仿宋" w:cs="Times New Roman"/>
                <w:b/>
                <w:bCs/>
                <w:color w:val="000000"/>
                <w:kern w:val="0"/>
                <w:sz w:val="28"/>
                <w:szCs w:val="28"/>
                <w:lang w:val="en-US" w:eastAsia="zh-CN" w:bidi="ar"/>
              </w:rPr>
            </w:pPr>
            <w:r>
              <w:rPr>
                <w:rFonts w:ascii="Times New Roman" w:hAnsi="Times New Roman" w:eastAsia="仿宋" w:cs="Times New Roman"/>
                <w:b/>
                <w:bCs/>
                <w:color w:val="000000"/>
                <w:kern w:val="0"/>
                <w:sz w:val="28"/>
                <w:szCs w:val="28"/>
                <w:lang w:val="en-US" w:bidi="ar"/>
              </w:rPr>
              <w:t>申报</w:t>
            </w:r>
            <w:r>
              <w:rPr>
                <w:rFonts w:hint="default" w:ascii="Times New Roman" w:hAnsi="Times New Roman" w:eastAsia="仿宋" w:cs="Times New Roman"/>
                <w:b/>
                <w:bCs/>
                <w:color w:val="000000"/>
                <w:kern w:val="0"/>
                <w:sz w:val="28"/>
                <w:szCs w:val="28"/>
                <w:lang w:val="en-US" w:eastAsia="zh-CN" w:bidi="ar"/>
              </w:rPr>
              <w:t>作者</w:t>
            </w:r>
          </w:p>
        </w:tc>
        <w:tc>
          <w:tcPr>
            <w:tcW w:w="2952" w:type="dxa"/>
            <w:vAlign w:val="center"/>
          </w:tcPr>
          <w:p w14:paraId="0A6CA65E">
            <w:pPr>
              <w:widowControl/>
              <w:spacing w:line="240" w:lineRule="exact"/>
              <w:ind w:firstLine="0" w:firstLineChars="0"/>
              <w:jc w:val="center"/>
              <w:textAlignment w:val="center"/>
              <w:rPr>
                <w:rFonts w:ascii="Times New Roman" w:hAnsi="Times New Roman" w:eastAsia="仿宋" w:cs="Times New Roman"/>
                <w:b/>
                <w:bCs/>
                <w:color w:val="000000"/>
                <w:kern w:val="0"/>
                <w:sz w:val="28"/>
                <w:szCs w:val="28"/>
                <w:lang w:val="en-US" w:bidi="ar"/>
              </w:rPr>
            </w:pPr>
            <w:r>
              <w:rPr>
                <w:rFonts w:hint="default" w:ascii="Times New Roman" w:hAnsi="Times New Roman" w:eastAsia="仿宋" w:cs="Times New Roman"/>
                <w:b/>
                <w:bCs/>
                <w:color w:val="000000"/>
                <w:kern w:val="0"/>
                <w:sz w:val="28"/>
                <w:szCs w:val="28"/>
                <w:lang w:val="en-US" w:eastAsia="zh-CN" w:bidi="ar"/>
              </w:rPr>
              <w:t>推荐</w:t>
            </w:r>
            <w:r>
              <w:rPr>
                <w:rFonts w:ascii="Times New Roman" w:hAnsi="Times New Roman" w:eastAsia="仿宋" w:cs="Times New Roman"/>
                <w:b/>
                <w:bCs/>
                <w:color w:val="000000"/>
                <w:kern w:val="0"/>
                <w:sz w:val="28"/>
                <w:szCs w:val="28"/>
                <w:lang w:val="en-US" w:bidi="ar"/>
              </w:rPr>
              <w:t>单位</w:t>
            </w:r>
          </w:p>
        </w:tc>
      </w:tr>
      <w:tr w14:paraId="485C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30" w:type="dxa"/>
            <w:vAlign w:val="center"/>
          </w:tcPr>
          <w:p w14:paraId="0E2D17C4">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1</w:t>
            </w:r>
          </w:p>
        </w:tc>
        <w:tc>
          <w:tcPr>
            <w:tcW w:w="4280" w:type="dxa"/>
            <w:shd w:val="clear" w:color="auto" w:fill="auto"/>
            <w:vAlign w:val="center"/>
          </w:tcPr>
          <w:p w14:paraId="72F579D1">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A fluorescence sensing array based on photonic crystals and RAA for sensitive and high-throughput detection of Salmonella in foods</w:t>
            </w:r>
          </w:p>
        </w:tc>
        <w:tc>
          <w:tcPr>
            <w:tcW w:w="1354" w:type="dxa"/>
            <w:shd w:val="clear" w:color="auto" w:fill="auto"/>
            <w:vAlign w:val="center"/>
          </w:tcPr>
          <w:p w14:paraId="4E4F28EE">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李永新</w:t>
            </w:r>
          </w:p>
        </w:tc>
        <w:tc>
          <w:tcPr>
            <w:tcW w:w="2952" w:type="dxa"/>
            <w:shd w:val="clear" w:color="auto" w:fill="auto"/>
            <w:vAlign w:val="center"/>
          </w:tcPr>
          <w:p w14:paraId="4DE222C7">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四川大学华西公共卫生学院</w:t>
            </w:r>
            <w:r>
              <w:rPr>
                <w:rFonts w:ascii="Times New Roman" w:hAnsi="Times New Roman" w:eastAsia="仿宋" w:cs="Times New Roman"/>
                <w:color w:val="000000"/>
                <w:kern w:val="0"/>
                <w:sz w:val="21"/>
                <w:szCs w:val="21"/>
                <w:lang w:val="en-US" w:bidi="ar"/>
              </w:rPr>
              <w:br w:type="textWrapping"/>
            </w:r>
            <w:r>
              <w:rPr>
                <w:rFonts w:ascii="Times New Roman" w:hAnsi="Times New Roman" w:eastAsia="仿宋" w:cs="Times New Roman"/>
                <w:color w:val="000000"/>
                <w:kern w:val="0"/>
                <w:sz w:val="21"/>
                <w:szCs w:val="21"/>
                <w:lang w:val="en-US" w:bidi="ar"/>
              </w:rPr>
              <w:t>/华西第四医院</w:t>
            </w:r>
          </w:p>
        </w:tc>
      </w:tr>
      <w:tr w14:paraId="129E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30" w:type="dxa"/>
            <w:vAlign w:val="center"/>
          </w:tcPr>
          <w:p w14:paraId="12189E03">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2</w:t>
            </w:r>
          </w:p>
        </w:tc>
        <w:tc>
          <w:tcPr>
            <w:tcW w:w="4280" w:type="dxa"/>
            <w:shd w:val="clear" w:color="auto" w:fill="auto"/>
            <w:vAlign w:val="center"/>
          </w:tcPr>
          <w:p w14:paraId="55729721">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成都市居民膳食模式与高血压的关联性研究</w:t>
            </w:r>
          </w:p>
        </w:tc>
        <w:tc>
          <w:tcPr>
            <w:tcW w:w="1354" w:type="dxa"/>
            <w:shd w:val="clear" w:color="auto" w:fill="auto"/>
            <w:vAlign w:val="center"/>
          </w:tcPr>
          <w:p w14:paraId="281CB61D">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钱雯</w:t>
            </w:r>
          </w:p>
        </w:tc>
        <w:tc>
          <w:tcPr>
            <w:tcW w:w="2952" w:type="dxa"/>
            <w:shd w:val="clear" w:color="auto" w:fill="auto"/>
            <w:vAlign w:val="center"/>
          </w:tcPr>
          <w:p w14:paraId="70834A4D">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成都市疾病预防控制中心</w:t>
            </w:r>
          </w:p>
        </w:tc>
      </w:tr>
      <w:tr w14:paraId="1BE7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30" w:type="dxa"/>
            <w:shd w:val="clear" w:color="auto" w:fill="auto"/>
            <w:vAlign w:val="center"/>
          </w:tcPr>
          <w:p w14:paraId="53864CFF">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3</w:t>
            </w:r>
          </w:p>
        </w:tc>
        <w:tc>
          <w:tcPr>
            <w:tcW w:w="4280" w:type="dxa"/>
            <w:shd w:val="clear" w:color="auto" w:fill="auto"/>
            <w:vAlign w:val="center"/>
          </w:tcPr>
          <w:p w14:paraId="6244B1F2">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cs="Times New Roman"/>
              </w:rPr>
              <w:fldChar w:fldCharType="begin"/>
            </w:r>
            <w:r>
              <w:rPr>
                <w:rFonts w:ascii="Times New Roman" w:hAnsi="Times New Roman" w:cs="Times New Roman"/>
              </w:rPr>
              <w:instrText xml:space="preserve"> HYPERLINK "http://scsrmyyir.jhjulian.com.cn/web/doc/2023122410101100002" \o "http://scsrmyyir.jhjulian.com.cn/web/doc/2023122410101100002" </w:instrText>
            </w:r>
            <w:r>
              <w:rPr>
                <w:rFonts w:ascii="Times New Roman" w:hAnsi="Times New Roman" w:cs="Times New Roman"/>
              </w:rPr>
              <w:fldChar w:fldCharType="separate"/>
            </w:r>
            <w:r>
              <w:rPr>
                <w:rFonts w:ascii="Times New Roman" w:hAnsi="Times New Roman" w:eastAsia="仿宋" w:cs="Times New Roman"/>
                <w:color w:val="000000"/>
                <w:kern w:val="0"/>
                <w:sz w:val="21"/>
                <w:szCs w:val="21"/>
                <w:lang w:val="en-US" w:bidi="ar"/>
              </w:rPr>
              <w:t>Effectiveness of inspector mechanism for the emergency infection prevention and control in the SARS-CoV-2 epidemic period: a self-control real-word study</w:t>
            </w:r>
            <w:r>
              <w:rPr>
                <w:rFonts w:ascii="Times New Roman" w:hAnsi="Times New Roman" w:eastAsia="仿宋" w:cs="Times New Roman"/>
                <w:color w:val="000000"/>
                <w:kern w:val="0"/>
                <w:sz w:val="21"/>
                <w:szCs w:val="21"/>
                <w:lang w:val="en-US" w:bidi="ar"/>
              </w:rPr>
              <w:fldChar w:fldCharType="end"/>
            </w:r>
          </w:p>
        </w:tc>
        <w:tc>
          <w:tcPr>
            <w:tcW w:w="1354" w:type="dxa"/>
            <w:shd w:val="clear" w:color="auto" w:fill="auto"/>
            <w:vAlign w:val="center"/>
          </w:tcPr>
          <w:p w14:paraId="006B6C8E">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曹洪容</w:t>
            </w:r>
          </w:p>
        </w:tc>
        <w:tc>
          <w:tcPr>
            <w:tcW w:w="2952" w:type="dxa"/>
            <w:shd w:val="clear" w:color="auto" w:fill="auto"/>
            <w:vAlign w:val="center"/>
          </w:tcPr>
          <w:p w14:paraId="34303CAF">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四川省医学科学院·四川省人民医院</w:t>
            </w:r>
          </w:p>
        </w:tc>
      </w:tr>
      <w:tr w14:paraId="17BE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30" w:type="dxa"/>
            <w:shd w:val="clear" w:color="auto" w:fill="auto"/>
            <w:vAlign w:val="center"/>
          </w:tcPr>
          <w:p w14:paraId="21678A4F">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4</w:t>
            </w:r>
          </w:p>
        </w:tc>
        <w:tc>
          <w:tcPr>
            <w:tcW w:w="4280" w:type="dxa"/>
            <w:shd w:val="clear" w:color="auto" w:fill="auto"/>
            <w:vAlign w:val="center"/>
          </w:tcPr>
          <w:p w14:paraId="1C31B997">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某市2011至2021年新发尘肺病特征和生存分析</w:t>
            </w:r>
          </w:p>
        </w:tc>
        <w:tc>
          <w:tcPr>
            <w:tcW w:w="1354" w:type="dxa"/>
            <w:shd w:val="clear" w:color="auto" w:fill="auto"/>
            <w:vAlign w:val="center"/>
          </w:tcPr>
          <w:p w14:paraId="3AA994DF">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旷聃</w:t>
            </w:r>
          </w:p>
        </w:tc>
        <w:tc>
          <w:tcPr>
            <w:tcW w:w="2952" w:type="dxa"/>
            <w:shd w:val="clear" w:color="auto" w:fill="auto"/>
            <w:vAlign w:val="center"/>
          </w:tcPr>
          <w:p w14:paraId="16C0FFA3">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成都市疾病预防控制中心</w:t>
            </w:r>
          </w:p>
        </w:tc>
      </w:tr>
      <w:tr w14:paraId="6210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30" w:type="dxa"/>
            <w:shd w:val="clear" w:color="auto" w:fill="auto"/>
            <w:vAlign w:val="center"/>
          </w:tcPr>
          <w:p w14:paraId="04E02EEC">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5</w:t>
            </w:r>
          </w:p>
        </w:tc>
        <w:tc>
          <w:tcPr>
            <w:tcW w:w="4280" w:type="dxa"/>
            <w:shd w:val="clear" w:color="auto" w:fill="auto"/>
            <w:vAlign w:val="center"/>
          </w:tcPr>
          <w:p w14:paraId="2774C44A">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Development and validation of an age-sexethnicity-specific metabolic syndrome score in the Chinese adults</w:t>
            </w:r>
          </w:p>
        </w:tc>
        <w:tc>
          <w:tcPr>
            <w:tcW w:w="1354" w:type="dxa"/>
            <w:shd w:val="clear" w:color="auto" w:fill="auto"/>
            <w:vAlign w:val="center"/>
          </w:tcPr>
          <w:p w14:paraId="459B1955">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杨淑娟</w:t>
            </w:r>
          </w:p>
        </w:tc>
        <w:tc>
          <w:tcPr>
            <w:tcW w:w="2952" w:type="dxa"/>
            <w:shd w:val="clear" w:color="auto" w:fill="auto"/>
            <w:vAlign w:val="center"/>
          </w:tcPr>
          <w:p w14:paraId="6A27B289">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四川大学华西公共卫生学院/华西第四医院</w:t>
            </w:r>
          </w:p>
        </w:tc>
      </w:tr>
      <w:tr w14:paraId="4DDE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30" w:type="dxa"/>
            <w:shd w:val="clear" w:color="auto" w:fill="auto"/>
            <w:vAlign w:val="center"/>
          </w:tcPr>
          <w:p w14:paraId="3BE3D8A5">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6</w:t>
            </w:r>
          </w:p>
        </w:tc>
        <w:tc>
          <w:tcPr>
            <w:tcW w:w="4280" w:type="dxa"/>
            <w:shd w:val="clear" w:color="auto" w:fill="auto"/>
            <w:vAlign w:val="center"/>
          </w:tcPr>
          <w:p w14:paraId="2EFB167F">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Effect Observation and Safety Evaluation Score of Systematic Health Education Nursing Mode in Knee Arthritis Nursing</w:t>
            </w:r>
          </w:p>
        </w:tc>
        <w:tc>
          <w:tcPr>
            <w:tcW w:w="1354" w:type="dxa"/>
            <w:shd w:val="clear" w:color="auto" w:fill="auto"/>
            <w:vAlign w:val="center"/>
          </w:tcPr>
          <w:p w14:paraId="719AD6D5">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陈澜</w:t>
            </w:r>
          </w:p>
        </w:tc>
        <w:tc>
          <w:tcPr>
            <w:tcW w:w="2952" w:type="dxa"/>
            <w:shd w:val="clear" w:color="auto" w:fill="auto"/>
            <w:vAlign w:val="center"/>
          </w:tcPr>
          <w:p w14:paraId="5C309B45">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成都市第三人民医院</w:t>
            </w:r>
          </w:p>
        </w:tc>
      </w:tr>
      <w:tr w14:paraId="387F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30" w:type="dxa"/>
            <w:shd w:val="clear" w:color="auto" w:fill="auto"/>
            <w:vAlign w:val="center"/>
          </w:tcPr>
          <w:p w14:paraId="737C1CC7">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7</w:t>
            </w:r>
          </w:p>
        </w:tc>
        <w:tc>
          <w:tcPr>
            <w:tcW w:w="4280" w:type="dxa"/>
            <w:shd w:val="clear" w:color="auto" w:fill="auto"/>
            <w:vAlign w:val="center"/>
          </w:tcPr>
          <w:p w14:paraId="7B6904DC">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Comparison of the prognostic value, feasibility, and reproducibility among different scoring methods of 8-point lung ultrasonography in patients with acute heart failure</w:t>
            </w:r>
          </w:p>
        </w:tc>
        <w:tc>
          <w:tcPr>
            <w:tcW w:w="1354" w:type="dxa"/>
            <w:shd w:val="clear" w:color="auto" w:fill="auto"/>
            <w:vAlign w:val="center"/>
          </w:tcPr>
          <w:p w14:paraId="06EC74D2">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徐 平</w:t>
            </w:r>
            <w:r>
              <w:rPr>
                <w:rFonts w:ascii="Times New Roman" w:hAnsi="Times New Roman" w:eastAsia="仿宋" w:cs="Times New Roman"/>
                <w:color w:val="000000"/>
                <w:kern w:val="0"/>
                <w:sz w:val="21"/>
                <w:szCs w:val="21"/>
                <w:lang w:val="en-US" w:bidi="ar"/>
              </w:rPr>
              <w:br w:type="textWrapping"/>
            </w:r>
          </w:p>
        </w:tc>
        <w:tc>
          <w:tcPr>
            <w:tcW w:w="2952" w:type="dxa"/>
            <w:shd w:val="clear" w:color="auto" w:fill="auto"/>
            <w:vAlign w:val="center"/>
          </w:tcPr>
          <w:p w14:paraId="384A4A5F">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自贡市第四人民医院</w:t>
            </w:r>
          </w:p>
        </w:tc>
      </w:tr>
      <w:tr w14:paraId="2863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30" w:type="dxa"/>
            <w:shd w:val="clear" w:color="auto" w:fill="auto"/>
            <w:vAlign w:val="center"/>
          </w:tcPr>
          <w:p w14:paraId="7F075BD3">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8</w:t>
            </w:r>
          </w:p>
        </w:tc>
        <w:tc>
          <w:tcPr>
            <w:tcW w:w="4280" w:type="dxa"/>
            <w:shd w:val="clear" w:color="auto" w:fill="auto"/>
            <w:vAlign w:val="center"/>
          </w:tcPr>
          <w:p w14:paraId="585AB725">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经阴道三维超声血流参数诊断宫腔粘连及评估病情程度 效能</w:t>
            </w:r>
          </w:p>
        </w:tc>
        <w:tc>
          <w:tcPr>
            <w:tcW w:w="1354" w:type="dxa"/>
            <w:shd w:val="clear" w:color="auto" w:fill="auto"/>
            <w:vAlign w:val="center"/>
          </w:tcPr>
          <w:p w14:paraId="2B30EC45">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李思敏</w:t>
            </w:r>
          </w:p>
        </w:tc>
        <w:tc>
          <w:tcPr>
            <w:tcW w:w="2952" w:type="dxa"/>
            <w:shd w:val="clear" w:color="auto" w:fill="auto"/>
            <w:vAlign w:val="center"/>
          </w:tcPr>
          <w:p w14:paraId="0EE4E724">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眉山市妇幼保健院</w:t>
            </w:r>
          </w:p>
        </w:tc>
      </w:tr>
      <w:tr w14:paraId="149E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30" w:type="dxa"/>
            <w:vAlign w:val="center"/>
          </w:tcPr>
          <w:p w14:paraId="1EFEFC85">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9</w:t>
            </w:r>
          </w:p>
        </w:tc>
        <w:tc>
          <w:tcPr>
            <w:tcW w:w="4280" w:type="dxa"/>
            <w:shd w:val="clear" w:color="auto" w:fill="auto"/>
            <w:vAlign w:val="center"/>
          </w:tcPr>
          <w:p w14:paraId="372A48B1">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Dexmedetomidine alleviates ferroptosis following hepatic ischemia- reperfusion injury by upregulating Nrf2/GPx4-</w:t>
            </w:r>
            <w:r>
              <w:rPr>
                <w:rFonts w:ascii="Times New Roman" w:hAnsi="Times New Roman" w:eastAsia="仿宋" w:cs="Times New Roman"/>
                <w:color w:val="000000"/>
                <w:kern w:val="0"/>
                <w:sz w:val="21"/>
                <w:szCs w:val="21"/>
                <w:lang w:val="en-US" w:bidi="ar"/>
              </w:rPr>
              <w:br w:type="textWrapping"/>
            </w:r>
            <w:r>
              <w:rPr>
                <w:rFonts w:ascii="Times New Roman" w:hAnsi="Times New Roman" w:eastAsia="仿宋" w:cs="Times New Roman"/>
                <w:color w:val="000000"/>
                <w:kern w:val="0"/>
                <w:sz w:val="21"/>
                <w:szCs w:val="21"/>
                <w:lang w:val="en-US" w:bidi="ar"/>
              </w:rPr>
              <w:t>dependent antioxidant responses</w:t>
            </w:r>
          </w:p>
        </w:tc>
        <w:tc>
          <w:tcPr>
            <w:tcW w:w="1354" w:type="dxa"/>
            <w:shd w:val="clear" w:color="auto" w:fill="auto"/>
            <w:vAlign w:val="center"/>
          </w:tcPr>
          <w:p w14:paraId="6C3387FD">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张永俊</w:t>
            </w:r>
          </w:p>
        </w:tc>
        <w:tc>
          <w:tcPr>
            <w:tcW w:w="2952" w:type="dxa"/>
            <w:shd w:val="clear" w:color="auto" w:fill="auto"/>
            <w:vAlign w:val="center"/>
          </w:tcPr>
          <w:p w14:paraId="0FF4DF03">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成都市第七人民医院</w:t>
            </w:r>
          </w:p>
        </w:tc>
      </w:tr>
      <w:tr w14:paraId="3B37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830" w:type="dxa"/>
            <w:vAlign w:val="center"/>
          </w:tcPr>
          <w:p w14:paraId="1B6B415A">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10</w:t>
            </w:r>
          </w:p>
        </w:tc>
        <w:tc>
          <w:tcPr>
            <w:tcW w:w="4280" w:type="dxa"/>
            <w:shd w:val="clear" w:color="auto" w:fill="auto"/>
            <w:vAlign w:val="center"/>
          </w:tcPr>
          <w:p w14:paraId="7CB6E884">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Real-world applications of PARPi maintenance therapy for recurrent ovarian cancer: A single-center study in China.</w:t>
            </w:r>
          </w:p>
        </w:tc>
        <w:tc>
          <w:tcPr>
            <w:tcW w:w="1354" w:type="dxa"/>
            <w:shd w:val="clear" w:color="auto" w:fill="auto"/>
            <w:vAlign w:val="center"/>
          </w:tcPr>
          <w:p w14:paraId="10031375">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王登凤</w:t>
            </w:r>
            <w:r>
              <w:rPr>
                <w:rFonts w:ascii="Times New Roman" w:hAnsi="Times New Roman" w:eastAsia="仿宋" w:cs="Times New Roman"/>
                <w:color w:val="000000"/>
                <w:kern w:val="0"/>
                <w:sz w:val="21"/>
                <w:szCs w:val="21"/>
                <w:lang w:val="en-US" w:bidi="ar"/>
              </w:rPr>
              <w:br w:type="textWrapping"/>
            </w:r>
          </w:p>
        </w:tc>
        <w:tc>
          <w:tcPr>
            <w:tcW w:w="2952" w:type="dxa"/>
            <w:shd w:val="clear" w:color="auto" w:fill="auto"/>
            <w:vAlign w:val="center"/>
          </w:tcPr>
          <w:p w14:paraId="610E1A96">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四川省肿瘤医院</w:t>
            </w:r>
          </w:p>
        </w:tc>
      </w:tr>
    </w:tbl>
    <w:p w14:paraId="6E45EBDD">
      <w:pPr>
        <w:spacing w:line="240" w:lineRule="auto"/>
        <w:ind w:firstLine="0" w:firstLineChars="0"/>
        <w:jc w:val="center"/>
        <w:rPr>
          <w:rFonts w:ascii="Times New Roman" w:hAnsi="Times New Roman" w:eastAsia="宋体" w:cs="Times New Roman"/>
          <w:b/>
          <w:bCs/>
          <w:sz w:val="28"/>
          <w:szCs w:val="36"/>
          <w:lang w:val="en-US"/>
        </w:rPr>
      </w:pPr>
    </w:p>
    <w:p w14:paraId="0B76812A">
      <w:pPr>
        <w:spacing w:line="240" w:lineRule="auto"/>
        <w:ind w:firstLine="0" w:firstLineChars="0"/>
        <w:jc w:val="center"/>
        <w:rPr>
          <w:rFonts w:ascii="Times New Roman" w:hAnsi="Times New Roman" w:eastAsia="宋体" w:cs="Times New Roman"/>
          <w:b/>
          <w:bCs/>
          <w:sz w:val="28"/>
          <w:szCs w:val="36"/>
          <w:lang w:val="en-US"/>
        </w:rPr>
      </w:pPr>
    </w:p>
    <w:p w14:paraId="5C45CFBE">
      <w:pPr>
        <w:spacing w:line="240" w:lineRule="auto"/>
        <w:ind w:firstLine="0" w:firstLineChars="0"/>
        <w:jc w:val="center"/>
        <w:rPr>
          <w:rFonts w:ascii="Times New Roman" w:hAnsi="Times New Roman" w:cs="Times New Roman"/>
          <w:b/>
          <w:bCs/>
          <w:szCs w:val="40"/>
          <w:lang w:val="en-US"/>
        </w:rPr>
      </w:pPr>
      <w:r>
        <w:rPr>
          <w:rFonts w:ascii="Times New Roman" w:hAnsi="Times New Roman" w:cs="Times New Roman"/>
          <w:b/>
          <w:bCs/>
          <w:szCs w:val="40"/>
          <w:lang w:val="en-US"/>
        </w:rPr>
        <w:t>青年优秀论文</w:t>
      </w:r>
    </w:p>
    <w:tbl>
      <w:tblPr>
        <w:tblStyle w:val="3"/>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650"/>
        <w:gridCol w:w="1200"/>
        <w:gridCol w:w="2700"/>
      </w:tblGrid>
      <w:tr w14:paraId="114E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20" w:type="dxa"/>
            <w:vAlign w:val="center"/>
          </w:tcPr>
          <w:p w14:paraId="7D3FA1A8">
            <w:pPr>
              <w:widowControl/>
              <w:spacing w:line="240" w:lineRule="exact"/>
              <w:ind w:firstLine="0" w:firstLineChars="0"/>
              <w:jc w:val="center"/>
              <w:textAlignment w:val="center"/>
              <w:rPr>
                <w:rFonts w:ascii="Times New Roman" w:hAnsi="Times New Roman" w:eastAsia="仿宋" w:cs="Times New Roman"/>
                <w:b/>
                <w:bCs/>
                <w:color w:val="000000"/>
                <w:kern w:val="0"/>
                <w:sz w:val="28"/>
                <w:szCs w:val="28"/>
                <w:lang w:val="en-US" w:bidi="ar"/>
              </w:rPr>
            </w:pPr>
            <w:r>
              <w:rPr>
                <w:rFonts w:ascii="Times New Roman" w:hAnsi="Times New Roman" w:eastAsia="仿宋" w:cs="Times New Roman"/>
                <w:b/>
                <w:bCs/>
                <w:color w:val="000000"/>
                <w:kern w:val="0"/>
                <w:sz w:val="28"/>
                <w:szCs w:val="28"/>
                <w:lang w:val="en-US" w:bidi="ar"/>
              </w:rPr>
              <w:t>序号</w:t>
            </w:r>
          </w:p>
        </w:tc>
        <w:tc>
          <w:tcPr>
            <w:tcW w:w="4650" w:type="dxa"/>
            <w:vAlign w:val="center"/>
          </w:tcPr>
          <w:p w14:paraId="0D29B0FB">
            <w:pPr>
              <w:widowControl/>
              <w:spacing w:line="240" w:lineRule="exact"/>
              <w:ind w:firstLine="0" w:firstLineChars="0"/>
              <w:jc w:val="center"/>
              <w:textAlignment w:val="center"/>
              <w:rPr>
                <w:rFonts w:ascii="Times New Roman" w:hAnsi="Times New Roman" w:eastAsia="仿宋" w:cs="Times New Roman"/>
                <w:b/>
                <w:bCs/>
                <w:color w:val="000000"/>
                <w:kern w:val="0"/>
                <w:sz w:val="28"/>
                <w:szCs w:val="28"/>
                <w:lang w:val="en-US" w:bidi="ar"/>
              </w:rPr>
            </w:pPr>
            <w:r>
              <w:rPr>
                <w:rFonts w:ascii="Times New Roman" w:hAnsi="Times New Roman" w:eastAsia="仿宋" w:cs="Times New Roman"/>
                <w:b/>
                <w:bCs/>
                <w:color w:val="000000"/>
                <w:kern w:val="0"/>
                <w:sz w:val="28"/>
                <w:szCs w:val="28"/>
                <w:lang w:val="en-US" w:bidi="ar"/>
              </w:rPr>
              <w:t>论文名称</w:t>
            </w:r>
          </w:p>
        </w:tc>
        <w:tc>
          <w:tcPr>
            <w:tcW w:w="1200" w:type="dxa"/>
            <w:vAlign w:val="center"/>
          </w:tcPr>
          <w:p w14:paraId="137745E8">
            <w:pPr>
              <w:widowControl/>
              <w:spacing w:line="240" w:lineRule="exact"/>
              <w:ind w:firstLine="0" w:firstLineChars="0"/>
              <w:jc w:val="center"/>
              <w:textAlignment w:val="center"/>
              <w:rPr>
                <w:rFonts w:ascii="Times New Roman" w:hAnsi="Times New Roman" w:eastAsia="仿宋" w:cs="Times New Roman"/>
                <w:b/>
                <w:bCs/>
                <w:color w:val="000000"/>
                <w:kern w:val="0"/>
                <w:sz w:val="28"/>
                <w:szCs w:val="28"/>
                <w:lang w:val="en-US" w:bidi="ar"/>
              </w:rPr>
            </w:pPr>
            <w:r>
              <w:rPr>
                <w:rFonts w:ascii="Times New Roman" w:hAnsi="Times New Roman" w:eastAsia="仿宋" w:cs="Times New Roman"/>
                <w:b/>
                <w:bCs/>
                <w:color w:val="000000"/>
                <w:kern w:val="0"/>
                <w:sz w:val="28"/>
                <w:szCs w:val="28"/>
                <w:lang w:val="en-US" w:bidi="ar"/>
              </w:rPr>
              <w:t>申报人</w:t>
            </w:r>
          </w:p>
        </w:tc>
        <w:tc>
          <w:tcPr>
            <w:tcW w:w="2700" w:type="dxa"/>
            <w:vAlign w:val="center"/>
          </w:tcPr>
          <w:p w14:paraId="61C19C03">
            <w:pPr>
              <w:widowControl/>
              <w:spacing w:line="240" w:lineRule="exact"/>
              <w:ind w:firstLine="0" w:firstLineChars="0"/>
              <w:jc w:val="center"/>
              <w:textAlignment w:val="center"/>
              <w:rPr>
                <w:rFonts w:ascii="Times New Roman" w:hAnsi="Times New Roman" w:eastAsia="仿宋" w:cs="Times New Roman"/>
                <w:b/>
                <w:bCs/>
                <w:color w:val="000000"/>
                <w:kern w:val="0"/>
                <w:sz w:val="28"/>
                <w:szCs w:val="28"/>
                <w:lang w:val="en-US" w:bidi="ar"/>
              </w:rPr>
            </w:pPr>
            <w:r>
              <w:rPr>
                <w:rFonts w:ascii="Times New Roman" w:hAnsi="Times New Roman" w:eastAsia="仿宋" w:cs="Times New Roman"/>
                <w:b/>
                <w:bCs/>
                <w:color w:val="000000"/>
                <w:kern w:val="0"/>
                <w:sz w:val="28"/>
                <w:szCs w:val="28"/>
                <w:lang w:val="en-US" w:bidi="ar"/>
              </w:rPr>
              <w:t>申报单位</w:t>
            </w:r>
          </w:p>
        </w:tc>
      </w:tr>
      <w:tr w14:paraId="4E1B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920" w:type="dxa"/>
            <w:shd w:val="clear" w:color="auto" w:fill="auto"/>
            <w:vAlign w:val="center"/>
          </w:tcPr>
          <w:p w14:paraId="1E1338EB">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1</w:t>
            </w:r>
          </w:p>
        </w:tc>
        <w:tc>
          <w:tcPr>
            <w:tcW w:w="4650" w:type="dxa"/>
            <w:shd w:val="clear" w:color="auto" w:fill="auto"/>
            <w:vAlign w:val="center"/>
          </w:tcPr>
          <w:p w14:paraId="627B41ED">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Longitudinal study of mental health changes in residents affected by an initial outbreak of COVID-19 in China</w:t>
            </w:r>
          </w:p>
        </w:tc>
        <w:tc>
          <w:tcPr>
            <w:tcW w:w="1200" w:type="dxa"/>
            <w:shd w:val="clear" w:color="auto" w:fill="auto"/>
            <w:vAlign w:val="center"/>
          </w:tcPr>
          <w:p w14:paraId="2D9D1A1C">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杜娜</w:t>
            </w:r>
          </w:p>
        </w:tc>
        <w:tc>
          <w:tcPr>
            <w:tcW w:w="2700" w:type="dxa"/>
            <w:shd w:val="clear" w:color="auto" w:fill="auto"/>
            <w:vAlign w:val="center"/>
          </w:tcPr>
          <w:p w14:paraId="7EFF650E">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成都市第四人民医院</w:t>
            </w:r>
          </w:p>
        </w:tc>
      </w:tr>
      <w:tr w14:paraId="5554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20" w:type="dxa"/>
            <w:shd w:val="clear" w:color="auto" w:fill="auto"/>
            <w:vAlign w:val="center"/>
          </w:tcPr>
          <w:p w14:paraId="21D49603">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2</w:t>
            </w:r>
          </w:p>
        </w:tc>
        <w:tc>
          <w:tcPr>
            <w:tcW w:w="4650" w:type="dxa"/>
            <w:shd w:val="clear" w:color="auto" w:fill="auto"/>
            <w:vAlign w:val="center"/>
          </w:tcPr>
          <w:p w14:paraId="738BA829">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成都市新冠病毒既往感染者重复感染omicron变异株情况分析</w:t>
            </w:r>
          </w:p>
        </w:tc>
        <w:tc>
          <w:tcPr>
            <w:tcW w:w="1200" w:type="dxa"/>
            <w:shd w:val="clear" w:color="auto" w:fill="auto"/>
            <w:vAlign w:val="center"/>
          </w:tcPr>
          <w:p w14:paraId="4FBF1A24">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戴映雪</w:t>
            </w:r>
          </w:p>
        </w:tc>
        <w:tc>
          <w:tcPr>
            <w:tcW w:w="2700" w:type="dxa"/>
            <w:shd w:val="clear" w:color="auto" w:fill="auto"/>
            <w:vAlign w:val="center"/>
          </w:tcPr>
          <w:p w14:paraId="715AAA78">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成都市疾病预防控制中心</w:t>
            </w:r>
          </w:p>
        </w:tc>
      </w:tr>
      <w:tr w14:paraId="04D8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20" w:type="dxa"/>
            <w:shd w:val="clear" w:color="auto" w:fill="auto"/>
            <w:vAlign w:val="center"/>
          </w:tcPr>
          <w:p w14:paraId="213856C1">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3</w:t>
            </w:r>
          </w:p>
        </w:tc>
        <w:tc>
          <w:tcPr>
            <w:tcW w:w="4650" w:type="dxa"/>
            <w:shd w:val="clear" w:color="auto" w:fill="auto"/>
            <w:vAlign w:val="center"/>
          </w:tcPr>
          <w:p w14:paraId="0964F1D3">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Effect of physical activity intervention on cognitive function: A cluster randomized trial</w:t>
            </w:r>
          </w:p>
        </w:tc>
        <w:tc>
          <w:tcPr>
            <w:tcW w:w="1200" w:type="dxa"/>
            <w:shd w:val="clear" w:color="auto" w:fill="auto"/>
            <w:vAlign w:val="center"/>
          </w:tcPr>
          <w:p w14:paraId="009DD89D">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周峻民</w:t>
            </w:r>
          </w:p>
        </w:tc>
        <w:tc>
          <w:tcPr>
            <w:tcW w:w="2700" w:type="dxa"/>
            <w:shd w:val="clear" w:color="auto" w:fill="auto"/>
            <w:vAlign w:val="center"/>
          </w:tcPr>
          <w:p w14:paraId="428BB1E9">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四川大学华西公共卫生学院/华西第四医院</w:t>
            </w:r>
          </w:p>
        </w:tc>
      </w:tr>
      <w:tr w14:paraId="5F8F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20" w:type="dxa"/>
            <w:shd w:val="clear" w:color="auto" w:fill="auto"/>
            <w:vAlign w:val="center"/>
          </w:tcPr>
          <w:p w14:paraId="73AC5ABF">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4</w:t>
            </w:r>
          </w:p>
        </w:tc>
        <w:tc>
          <w:tcPr>
            <w:tcW w:w="4650" w:type="dxa"/>
            <w:shd w:val="clear" w:color="auto" w:fill="auto"/>
            <w:vAlign w:val="center"/>
          </w:tcPr>
          <w:p w14:paraId="36224EF8">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The relationship between family function and the incidence of overweight/obesity in children and adolescents in Chengdu city, Sichuan province of China: based on latent profile analysis</w:t>
            </w:r>
          </w:p>
        </w:tc>
        <w:tc>
          <w:tcPr>
            <w:tcW w:w="1200" w:type="dxa"/>
            <w:shd w:val="clear" w:color="auto" w:fill="auto"/>
            <w:vAlign w:val="center"/>
          </w:tcPr>
          <w:p w14:paraId="5D3C440D">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蒋茜茜</w:t>
            </w:r>
          </w:p>
        </w:tc>
        <w:tc>
          <w:tcPr>
            <w:tcW w:w="2700" w:type="dxa"/>
            <w:shd w:val="clear" w:color="auto" w:fill="auto"/>
            <w:vAlign w:val="center"/>
          </w:tcPr>
          <w:p w14:paraId="6C0B9D42">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四川大学华西第二医院</w:t>
            </w:r>
          </w:p>
        </w:tc>
      </w:tr>
      <w:tr w14:paraId="25E0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20" w:type="dxa"/>
            <w:shd w:val="clear" w:color="auto" w:fill="auto"/>
            <w:vAlign w:val="center"/>
          </w:tcPr>
          <w:p w14:paraId="14B61BF2">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5</w:t>
            </w:r>
          </w:p>
        </w:tc>
        <w:tc>
          <w:tcPr>
            <w:tcW w:w="4650" w:type="dxa"/>
            <w:shd w:val="clear" w:color="auto" w:fill="auto"/>
            <w:vAlign w:val="center"/>
          </w:tcPr>
          <w:p w14:paraId="295AD47A">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Psychological capital and organizational citizenship behavior among nurses during the COVID-19 epidemic: mediation of organizational commitment</w:t>
            </w:r>
          </w:p>
        </w:tc>
        <w:tc>
          <w:tcPr>
            <w:tcW w:w="1200" w:type="dxa"/>
            <w:shd w:val="clear" w:color="auto" w:fill="auto"/>
            <w:vAlign w:val="center"/>
          </w:tcPr>
          <w:p w14:paraId="1C9623B0">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曾丽</w:t>
            </w:r>
          </w:p>
        </w:tc>
        <w:tc>
          <w:tcPr>
            <w:tcW w:w="2700" w:type="dxa"/>
            <w:shd w:val="clear" w:color="auto" w:fill="auto"/>
            <w:vAlign w:val="center"/>
          </w:tcPr>
          <w:p w14:paraId="46E3E8D6">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四川护理职业学院</w:t>
            </w:r>
          </w:p>
        </w:tc>
      </w:tr>
      <w:tr w14:paraId="0E44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920" w:type="dxa"/>
            <w:shd w:val="clear" w:color="auto" w:fill="auto"/>
            <w:vAlign w:val="center"/>
          </w:tcPr>
          <w:p w14:paraId="372831FF">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6</w:t>
            </w:r>
          </w:p>
        </w:tc>
        <w:tc>
          <w:tcPr>
            <w:tcW w:w="4650" w:type="dxa"/>
            <w:shd w:val="clear" w:color="auto" w:fill="auto"/>
            <w:vAlign w:val="center"/>
          </w:tcPr>
          <w:p w14:paraId="1C12C50D">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Development and</w:t>
            </w:r>
            <w:r>
              <w:rPr>
                <w:rFonts w:ascii="Times New Roman" w:hAnsi="Times New Roman" w:eastAsia="仿宋" w:cs="Times New Roman"/>
                <w:color w:val="000000"/>
                <w:kern w:val="0"/>
                <w:sz w:val="21"/>
                <w:szCs w:val="21"/>
                <w:lang w:val="en-US" w:bidi="ar"/>
              </w:rPr>
              <w:br w:type="textWrapping"/>
            </w:r>
            <w:r>
              <w:rPr>
                <w:rFonts w:ascii="Times New Roman" w:hAnsi="Times New Roman" w:eastAsia="仿宋" w:cs="Times New Roman"/>
                <w:color w:val="000000"/>
                <w:kern w:val="0"/>
                <w:sz w:val="21"/>
                <w:szCs w:val="21"/>
                <w:lang w:val="en-US" w:bidi="ar"/>
              </w:rPr>
              <w:t>validation of a nomogram for predicting suicide risk and prognostic factors in  bladder cancer patients following diagnosis:A population-based retrospective study</w:t>
            </w:r>
          </w:p>
        </w:tc>
        <w:tc>
          <w:tcPr>
            <w:tcW w:w="1200" w:type="dxa"/>
            <w:shd w:val="clear" w:color="auto" w:fill="auto"/>
            <w:vAlign w:val="center"/>
          </w:tcPr>
          <w:p w14:paraId="171E4D28">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肖宇</w:t>
            </w:r>
            <w:r>
              <w:rPr>
                <w:rFonts w:ascii="Times New Roman" w:hAnsi="Times New Roman" w:eastAsia="仿宋" w:cs="Times New Roman"/>
                <w:color w:val="000000"/>
                <w:kern w:val="0"/>
                <w:sz w:val="21"/>
                <w:szCs w:val="21"/>
                <w:lang w:val="en-US" w:bidi="ar"/>
              </w:rPr>
              <w:br w:type="textWrapping"/>
            </w:r>
          </w:p>
        </w:tc>
        <w:tc>
          <w:tcPr>
            <w:tcW w:w="2700" w:type="dxa"/>
            <w:shd w:val="clear" w:color="auto" w:fill="auto"/>
            <w:vAlign w:val="center"/>
          </w:tcPr>
          <w:p w14:paraId="0082AB50">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成都市第四人民医院</w:t>
            </w:r>
          </w:p>
        </w:tc>
      </w:tr>
      <w:tr w14:paraId="341B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20" w:type="dxa"/>
            <w:shd w:val="clear" w:color="auto" w:fill="auto"/>
            <w:vAlign w:val="center"/>
          </w:tcPr>
          <w:p w14:paraId="062B6EF5">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7</w:t>
            </w:r>
          </w:p>
        </w:tc>
        <w:tc>
          <w:tcPr>
            <w:tcW w:w="4650" w:type="dxa"/>
            <w:shd w:val="clear" w:color="auto" w:fill="auto"/>
            <w:vAlign w:val="center"/>
          </w:tcPr>
          <w:p w14:paraId="4B4C52F4">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中国女性成年期体质量指数及增重量与肥胖相关乳腺癌风险标志物的关联研究</w:t>
            </w:r>
          </w:p>
        </w:tc>
        <w:tc>
          <w:tcPr>
            <w:tcW w:w="1200" w:type="dxa"/>
            <w:shd w:val="clear" w:color="auto" w:fill="auto"/>
            <w:vAlign w:val="center"/>
          </w:tcPr>
          <w:p w14:paraId="4A1747B3">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周敏</w:t>
            </w:r>
          </w:p>
        </w:tc>
        <w:tc>
          <w:tcPr>
            <w:tcW w:w="2700" w:type="dxa"/>
            <w:shd w:val="clear" w:color="auto" w:fill="auto"/>
            <w:vAlign w:val="center"/>
          </w:tcPr>
          <w:p w14:paraId="7A267338">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 xml:space="preserve">成都市双流区妇幼保健院 </w:t>
            </w:r>
          </w:p>
        </w:tc>
      </w:tr>
      <w:tr w14:paraId="5D0D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20" w:type="dxa"/>
            <w:shd w:val="clear" w:color="auto" w:fill="auto"/>
            <w:vAlign w:val="center"/>
          </w:tcPr>
          <w:p w14:paraId="2E11965E">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8</w:t>
            </w:r>
          </w:p>
        </w:tc>
        <w:tc>
          <w:tcPr>
            <w:tcW w:w="4650" w:type="dxa"/>
            <w:shd w:val="clear" w:color="auto" w:fill="auto"/>
            <w:vAlign w:val="center"/>
          </w:tcPr>
          <w:p w14:paraId="73C2540F">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成都市2010― 2021年校外青少年HIV/AIDS空间聚集性分析</w:t>
            </w:r>
          </w:p>
        </w:tc>
        <w:tc>
          <w:tcPr>
            <w:tcW w:w="1200" w:type="dxa"/>
            <w:shd w:val="clear" w:color="auto" w:fill="auto"/>
            <w:vAlign w:val="center"/>
          </w:tcPr>
          <w:p w14:paraId="011FC155">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施雅莹</w:t>
            </w:r>
          </w:p>
        </w:tc>
        <w:tc>
          <w:tcPr>
            <w:tcW w:w="2700" w:type="dxa"/>
            <w:shd w:val="clear" w:color="auto" w:fill="auto"/>
            <w:vAlign w:val="center"/>
          </w:tcPr>
          <w:p w14:paraId="3A489359">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成都市疾病预防控制中心</w:t>
            </w:r>
          </w:p>
        </w:tc>
      </w:tr>
      <w:tr w14:paraId="2302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20" w:type="dxa"/>
            <w:shd w:val="clear" w:color="auto" w:fill="auto"/>
            <w:vAlign w:val="center"/>
          </w:tcPr>
          <w:p w14:paraId="7798F2CF">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9</w:t>
            </w:r>
          </w:p>
        </w:tc>
        <w:tc>
          <w:tcPr>
            <w:tcW w:w="4650" w:type="dxa"/>
            <w:shd w:val="clear" w:color="auto" w:fill="auto"/>
            <w:vAlign w:val="center"/>
          </w:tcPr>
          <w:p w14:paraId="41A7E9C8">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Association of the triglyceride-glucose index with coronary artery disease complexity in patients with acute coronary syndrome</w:t>
            </w:r>
          </w:p>
        </w:tc>
        <w:tc>
          <w:tcPr>
            <w:tcW w:w="1200" w:type="dxa"/>
            <w:shd w:val="clear" w:color="auto" w:fill="auto"/>
            <w:vAlign w:val="center"/>
          </w:tcPr>
          <w:p w14:paraId="61C07DCA">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熊诗强</w:t>
            </w:r>
          </w:p>
        </w:tc>
        <w:tc>
          <w:tcPr>
            <w:tcW w:w="2700" w:type="dxa"/>
            <w:shd w:val="clear" w:color="auto" w:fill="auto"/>
            <w:vAlign w:val="center"/>
          </w:tcPr>
          <w:p w14:paraId="30A689F2">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成都市第三人民医院</w:t>
            </w:r>
          </w:p>
        </w:tc>
      </w:tr>
      <w:tr w14:paraId="217F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20" w:type="dxa"/>
            <w:shd w:val="clear" w:color="auto" w:fill="auto"/>
            <w:vAlign w:val="center"/>
          </w:tcPr>
          <w:p w14:paraId="22B0A161">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10</w:t>
            </w:r>
          </w:p>
        </w:tc>
        <w:tc>
          <w:tcPr>
            <w:tcW w:w="4650" w:type="dxa"/>
            <w:shd w:val="clear" w:color="auto" w:fill="auto"/>
            <w:vAlign w:val="center"/>
          </w:tcPr>
          <w:p w14:paraId="6D2BDB5B">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 xml:space="preserve">Patterns of Structural Changes in the Fundus Measured by 0ptical Coherence Tomography Angiography as Potential Markers of Acute Mountain Sickness </w:t>
            </w:r>
          </w:p>
        </w:tc>
        <w:tc>
          <w:tcPr>
            <w:tcW w:w="1200" w:type="dxa"/>
            <w:shd w:val="clear" w:color="auto" w:fill="auto"/>
            <w:vAlign w:val="center"/>
          </w:tcPr>
          <w:p w14:paraId="468B1916">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赵元程</w:t>
            </w:r>
            <w:r>
              <w:rPr>
                <w:rFonts w:ascii="Times New Roman" w:hAnsi="Times New Roman" w:eastAsia="仿宋" w:cs="Times New Roman"/>
                <w:color w:val="000000"/>
                <w:kern w:val="0"/>
                <w:sz w:val="21"/>
                <w:szCs w:val="21"/>
                <w:lang w:val="en-US" w:bidi="ar"/>
              </w:rPr>
              <w:br w:type="textWrapping"/>
            </w:r>
          </w:p>
        </w:tc>
        <w:tc>
          <w:tcPr>
            <w:tcW w:w="2700" w:type="dxa"/>
            <w:shd w:val="clear" w:color="auto" w:fill="auto"/>
            <w:vAlign w:val="center"/>
          </w:tcPr>
          <w:p w14:paraId="614E318A">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中国人民解放军西部战区总医院</w:t>
            </w:r>
          </w:p>
        </w:tc>
      </w:tr>
      <w:tr w14:paraId="13EF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20" w:type="dxa"/>
            <w:shd w:val="clear" w:color="auto" w:fill="auto"/>
            <w:vAlign w:val="center"/>
          </w:tcPr>
          <w:p w14:paraId="3B42F09E">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11</w:t>
            </w:r>
          </w:p>
        </w:tc>
        <w:tc>
          <w:tcPr>
            <w:tcW w:w="4650" w:type="dxa"/>
            <w:shd w:val="clear" w:color="auto" w:fill="auto"/>
            <w:vAlign w:val="center"/>
          </w:tcPr>
          <w:p w14:paraId="1215B7D7">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Prognostic analysis of percutaneous vertebroplasty (PVP) combined with 125I implantation on lumbosacral vertebral osteoblastic metastases</w:t>
            </w:r>
          </w:p>
        </w:tc>
        <w:tc>
          <w:tcPr>
            <w:tcW w:w="1200" w:type="dxa"/>
            <w:shd w:val="clear" w:color="auto" w:fill="auto"/>
            <w:vAlign w:val="center"/>
          </w:tcPr>
          <w:p w14:paraId="663A6FCC">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徐磊</w:t>
            </w:r>
            <w:r>
              <w:rPr>
                <w:rFonts w:ascii="Times New Roman" w:hAnsi="Times New Roman" w:eastAsia="仿宋" w:cs="Times New Roman"/>
                <w:color w:val="000000"/>
                <w:kern w:val="0"/>
                <w:sz w:val="21"/>
                <w:szCs w:val="21"/>
                <w:lang w:val="en-US" w:bidi="ar"/>
              </w:rPr>
              <w:br w:type="textWrapping"/>
            </w:r>
          </w:p>
        </w:tc>
        <w:tc>
          <w:tcPr>
            <w:tcW w:w="2700" w:type="dxa"/>
            <w:shd w:val="clear" w:color="auto" w:fill="auto"/>
            <w:vAlign w:val="center"/>
          </w:tcPr>
          <w:p w14:paraId="6ADFC3E4">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成都市第七人民医院</w:t>
            </w:r>
          </w:p>
        </w:tc>
      </w:tr>
      <w:tr w14:paraId="054D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20" w:type="dxa"/>
            <w:shd w:val="clear" w:color="auto" w:fill="auto"/>
            <w:vAlign w:val="center"/>
          </w:tcPr>
          <w:p w14:paraId="59AF7BBA">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12</w:t>
            </w:r>
          </w:p>
        </w:tc>
        <w:tc>
          <w:tcPr>
            <w:tcW w:w="4650" w:type="dxa"/>
            <w:shd w:val="clear" w:color="auto" w:fill="auto"/>
            <w:vAlign w:val="center"/>
          </w:tcPr>
          <w:p w14:paraId="3C2A7E70">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The clinical value of combining shear wave elastography,VOCAL technique and T2* MRl of early gestation placentato predict pre-eclampsia</w:t>
            </w:r>
          </w:p>
        </w:tc>
        <w:tc>
          <w:tcPr>
            <w:tcW w:w="1200" w:type="dxa"/>
            <w:shd w:val="clear" w:color="auto" w:fill="auto"/>
            <w:vAlign w:val="center"/>
          </w:tcPr>
          <w:p w14:paraId="45416FCB">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谢川博</w:t>
            </w:r>
          </w:p>
        </w:tc>
        <w:tc>
          <w:tcPr>
            <w:tcW w:w="2700" w:type="dxa"/>
            <w:shd w:val="clear" w:color="auto" w:fill="auto"/>
            <w:vAlign w:val="center"/>
          </w:tcPr>
          <w:p w14:paraId="7A6AA82B">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自贡市妇幼保健院</w:t>
            </w:r>
          </w:p>
        </w:tc>
      </w:tr>
      <w:tr w14:paraId="60C0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20" w:type="dxa"/>
            <w:shd w:val="clear" w:color="auto" w:fill="auto"/>
            <w:vAlign w:val="center"/>
          </w:tcPr>
          <w:p w14:paraId="7B1A90B4">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13</w:t>
            </w:r>
          </w:p>
        </w:tc>
        <w:tc>
          <w:tcPr>
            <w:tcW w:w="4650" w:type="dxa"/>
            <w:shd w:val="clear" w:color="auto" w:fill="auto"/>
            <w:vAlign w:val="center"/>
          </w:tcPr>
          <w:p w14:paraId="452E37E9">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Colchicine delivered by a novel nanoparticle platform alleviates atherosclerosis by targeted inhibition of NF-κB/NLRP3 pathways in inflammatory endothelial cells</w:t>
            </w:r>
          </w:p>
        </w:tc>
        <w:tc>
          <w:tcPr>
            <w:tcW w:w="1200" w:type="dxa"/>
            <w:shd w:val="clear" w:color="auto" w:fill="auto"/>
            <w:vAlign w:val="center"/>
          </w:tcPr>
          <w:p w14:paraId="1923BC7D">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唐娟</w:t>
            </w:r>
          </w:p>
        </w:tc>
        <w:tc>
          <w:tcPr>
            <w:tcW w:w="2700" w:type="dxa"/>
            <w:shd w:val="clear" w:color="auto" w:fill="auto"/>
            <w:vAlign w:val="center"/>
          </w:tcPr>
          <w:p w14:paraId="0B02CEE5">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资阳市中心医院</w:t>
            </w:r>
          </w:p>
        </w:tc>
      </w:tr>
      <w:tr w14:paraId="0740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20" w:type="dxa"/>
            <w:shd w:val="clear" w:color="auto" w:fill="auto"/>
            <w:vAlign w:val="center"/>
          </w:tcPr>
          <w:p w14:paraId="4CECE02C">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14</w:t>
            </w:r>
          </w:p>
        </w:tc>
        <w:tc>
          <w:tcPr>
            <w:tcW w:w="4650" w:type="dxa"/>
            <w:shd w:val="clear" w:color="auto" w:fill="auto"/>
            <w:vAlign w:val="center"/>
          </w:tcPr>
          <w:p w14:paraId="3660D68B">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Pharmacological inhibition of EZH2 by ZLD1039 suppresses tumor growth and pulmonary metastasis in melanoma cells in vitro and in vivo</w:t>
            </w:r>
          </w:p>
        </w:tc>
        <w:tc>
          <w:tcPr>
            <w:tcW w:w="1200" w:type="dxa"/>
            <w:shd w:val="clear" w:color="auto" w:fill="auto"/>
            <w:vAlign w:val="center"/>
          </w:tcPr>
          <w:p w14:paraId="3C13752D">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易婧妍</w:t>
            </w:r>
          </w:p>
        </w:tc>
        <w:tc>
          <w:tcPr>
            <w:tcW w:w="2700" w:type="dxa"/>
            <w:shd w:val="clear" w:color="auto" w:fill="auto"/>
            <w:vAlign w:val="center"/>
          </w:tcPr>
          <w:p w14:paraId="518321A7">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西南医科大学</w:t>
            </w:r>
          </w:p>
        </w:tc>
      </w:tr>
      <w:tr w14:paraId="216F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20" w:type="dxa"/>
            <w:vAlign w:val="center"/>
          </w:tcPr>
          <w:p w14:paraId="50A9A073">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15</w:t>
            </w:r>
          </w:p>
        </w:tc>
        <w:tc>
          <w:tcPr>
            <w:tcW w:w="4650" w:type="dxa"/>
            <w:shd w:val="clear" w:color="auto" w:fill="auto"/>
            <w:vAlign w:val="center"/>
          </w:tcPr>
          <w:p w14:paraId="167D3F96">
            <w:pPr>
              <w:widowControl/>
              <w:spacing w:line="240" w:lineRule="exact"/>
              <w:ind w:firstLine="0" w:firstLineChars="0"/>
              <w:jc w:val="left"/>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Ferredoxin 1 regulates granulosa cell apoptosis and autophagy in polycystic ovary syndrome</w:t>
            </w:r>
          </w:p>
        </w:tc>
        <w:tc>
          <w:tcPr>
            <w:tcW w:w="1200" w:type="dxa"/>
            <w:shd w:val="clear" w:color="auto" w:fill="auto"/>
            <w:vAlign w:val="center"/>
          </w:tcPr>
          <w:p w14:paraId="5DFD0EDE">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朱永霞</w:t>
            </w:r>
          </w:p>
        </w:tc>
        <w:tc>
          <w:tcPr>
            <w:tcW w:w="2700" w:type="dxa"/>
            <w:shd w:val="clear" w:color="auto" w:fill="auto"/>
            <w:vAlign w:val="center"/>
          </w:tcPr>
          <w:p w14:paraId="50304F63">
            <w:pPr>
              <w:widowControl/>
              <w:spacing w:line="240" w:lineRule="exact"/>
              <w:ind w:firstLine="0" w:firstLineChars="0"/>
              <w:jc w:val="center"/>
              <w:textAlignment w:val="center"/>
              <w:rPr>
                <w:rFonts w:ascii="Times New Roman" w:hAnsi="Times New Roman" w:eastAsia="仿宋" w:cs="Times New Roman"/>
                <w:color w:val="000000"/>
                <w:kern w:val="0"/>
                <w:sz w:val="21"/>
                <w:szCs w:val="21"/>
                <w:lang w:val="en-US" w:bidi="ar"/>
              </w:rPr>
            </w:pPr>
            <w:r>
              <w:rPr>
                <w:rFonts w:ascii="Times New Roman" w:hAnsi="Times New Roman" w:eastAsia="仿宋" w:cs="Times New Roman"/>
                <w:color w:val="000000"/>
                <w:kern w:val="0"/>
                <w:sz w:val="21"/>
                <w:szCs w:val="21"/>
                <w:lang w:val="en-US" w:bidi="ar"/>
              </w:rPr>
              <w:t>四川省肿瘤医院</w:t>
            </w:r>
          </w:p>
        </w:tc>
      </w:tr>
    </w:tbl>
    <w:p w14:paraId="4F2B62D6">
      <w:pPr>
        <w:spacing w:line="240" w:lineRule="auto"/>
        <w:ind w:firstLine="0" w:firstLineChars="0"/>
        <w:jc w:val="left"/>
        <w:rPr>
          <w:rFonts w:ascii="Times New Roman" w:hAnsi="Times New Roman" w:eastAsia="黑体" w:cs="Times New Roman"/>
          <w:sz w:val="28"/>
          <w:szCs w:val="28"/>
          <w:lang w:val="en-US"/>
        </w:rPr>
      </w:pPr>
    </w:p>
    <w:p w14:paraId="4E7B7938">
      <w:pPr>
        <w:spacing w:line="240" w:lineRule="auto"/>
        <w:ind w:firstLine="0" w:firstLineChars="0"/>
        <w:jc w:val="left"/>
        <w:rPr>
          <w:rFonts w:ascii="Times New Roman" w:hAnsi="Times New Roman" w:eastAsia="黑体" w:cs="Times New Roman"/>
          <w:sz w:val="28"/>
          <w:szCs w:val="28"/>
          <w:lang w:val="en-US"/>
        </w:rPr>
      </w:pPr>
    </w:p>
    <w:p w14:paraId="56933C1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A5C4A"/>
    <w:rsid w:val="44EA5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eastAsia="仿宋_GB2312" w:asciiTheme="minorHAnsi" w:hAnsiTheme="minorHAnsi" w:cstheme="minorBidi"/>
      <w:kern w:val="2"/>
      <w:sz w:val="32"/>
      <w:szCs w:val="24"/>
      <w:lang w:val="en-GB"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2025-04-30T02:26:00Z</dcterms:created>
  <dc:creator>小小藝</dc:creator>
  <cp:lastModifiedBy>小小藝</cp:lastModifiedBy>
  <dcterms:modified xsi:type="dcterms:W3CDTF">2025-04-30T02:28:07Z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2FD2C4691175408B80D87C75C3584E69_11</vt:lpwstr>
  </property>
  <property fmtid="{D5CDD505-2E9C-101B-9397-08002B2CF9AE}" pid="4" name="KSOTemplateDocerSaveRecord">
    <vt:lpwstr>eyJoZGlkIjoiYzg0YmQ4MzA2NTZiZmU2ZjcxMjhiNzI1OTYwZWRlOWQiLCJ1c2VySWQiOiIxMjMyOTgyMzM5In0=</vt:lpwstr>
  </property>
</Properties>
</file>