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68AD">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331EAB3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b w:val="0"/>
          <w:bCs w:val="0"/>
          <w:color w:val="auto"/>
          <w:kern w:val="0"/>
          <w:sz w:val="40"/>
          <w:szCs w:val="40"/>
          <w:lang w:val="en-US" w:eastAsia="zh-CN" w:bidi="ar"/>
        </w:rPr>
      </w:pPr>
      <w:r>
        <w:rPr>
          <w:rFonts w:hint="eastAsia" w:ascii="方正小标宋简体" w:hAnsi="方正小标宋简体" w:eastAsia="方正小标宋简体" w:cs="方正小标宋简体"/>
          <w:b w:val="0"/>
          <w:bCs w:val="0"/>
          <w:color w:val="auto"/>
          <w:kern w:val="0"/>
          <w:sz w:val="40"/>
          <w:szCs w:val="40"/>
          <w:lang w:val="en-US" w:eastAsia="zh-CN" w:bidi="ar"/>
        </w:rPr>
        <w:t>2024年度四川省预防医学会拟授奖论文名单</w:t>
      </w:r>
    </w:p>
    <w:p w14:paraId="705C6DBB">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b w:val="0"/>
          <w:bCs w:val="0"/>
          <w:color w:val="auto"/>
          <w:kern w:val="0"/>
          <w:sz w:val="40"/>
          <w:szCs w:val="40"/>
          <w:lang w:val="en-US" w:eastAsia="zh-CN" w:bidi="ar"/>
        </w:rPr>
      </w:pPr>
      <w:r>
        <w:rPr>
          <w:rFonts w:hint="eastAsia" w:ascii="方正小标宋简体" w:hAnsi="方正小标宋简体" w:eastAsia="方正小标宋简体" w:cs="方正小标宋简体"/>
          <w:b w:val="0"/>
          <w:bCs w:val="0"/>
          <w:color w:val="auto"/>
          <w:kern w:val="0"/>
          <w:sz w:val="40"/>
          <w:szCs w:val="40"/>
          <w:lang w:val="en-US" w:eastAsia="zh-CN" w:bidi="ar"/>
        </w:rPr>
        <w:t>（优秀论文/青年优秀论文）</w:t>
      </w:r>
    </w:p>
    <w:p w14:paraId="6752D4E8">
      <w:pPr>
        <w:jc w:val="center"/>
        <w:rPr>
          <w:rFonts w:hint="eastAsia"/>
          <w:b/>
          <w:bCs/>
          <w:sz w:val="28"/>
          <w:szCs w:val="36"/>
        </w:rPr>
      </w:pPr>
    </w:p>
    <w:p w14:paraId="2F574F56">
      <w:pPr>
        <w:jc w:val="center"/>
        <w:rPr>
          <w:rFonts w:hint="eastAsia" w:ascii="仿宋_GB2312" w:hAnsi="仿宋_GB2312" w:eastAsia="仿宋_GB2312" w:cs="仿宋_GB2312"/>
          <w:b/>
          <w:bCs/>
          <w:sz w:val="32"/>
          <w:szCs w:val="40"/>
          <w:lang w:eastAsia="zh-CN"/>
        </w:rPr>
      </w:pPr>
      <w:bookmarkStart w:id="0" w:name="_GoBack"/>
      <w:bookmarkEnd w:id="0"/>
      <w:r>
        <w:rPr>
          <w:rFonts w:hint="eastAsia" w:ascii="仿宋_GB2312" w:hAnsi="仿宋_GB2312" w:eastAsia="仿宋_GB2312" w:cs="仿宋_GB2312"/>
          <w:b/>
          <w:bCs/>
          <w:sz w:val="32"/>
          <w:szCs w:val="40"/>
        </w:rPr>
        <w:t>优秀论文</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10篇</w:t>
      </w:r>
      <w:r>
        <w:rPr>
          <w:rFonts w:hint="eastAsia" w:ascii="仿宋_GB2312" w:hAnsi="仿宋_GB2312" w:eastAsia="仿宋_GB2312" w:cs="仿宋_GB2312"/>
          <w:b/>
          <w:bCs/>
          <w:sz w:val="32"/>
          <w:szCs w:val="40"/>
          <w:lang w:eastAsia="zh-CN"/>
        </w:rPr>
        <w:t>）</w:t>
      </w:r>
    </w:p>
    <w:tbl>
      <w:tblPr>
        <w:tblStyle w:val="3"/>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4397"/>
        <w:gridCol w:w="1237"/>
        <w:gridCol w:w="2805"/>
      </w:tblGrid>
      <w:tr w14:paraId="7BAE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46" w:type="dxa"/>
            <w:vAlign w:val="center"/>
          </w:tcPr>
          <w:p w14:paraId="61E7FB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序号</w:t>
            </w:r>
          </w:p>
        </w:tc>
        <w:tc>
          <w:tcPr>
            <w:tcW w:w="4397" w:type="dxa"/>
            <w:vAlign w:val="center"/>
          </w:tcPr>
          <w:p w14:paraId="64A368C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论文名称</w:t>
            </w:r>
          </w:p>
        </w:tc>
        <w:tc>
          <w:tcPr>
            <w:tcW w:w="1237" w:type="dxa"/>
            <w:vAlign w:val="center"/>
          </w:tcPr>
          <w:p w14:paraId="3C2454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申报人</w:t>
            </w:r>
          </w:p>
        </w:tc>
        <w:tc>
          <w:tcPr>
            <w:tcW w:w="2805" w:type="dxa"/>
            <w:vAlign w:val="center"/>
          </w:tcPr>
          <w:p w14:paraId="0557BE4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申报单位</w:t>
            </w:r>
          </w:p>
        </w:tc>
      </w:tr>
      <w:tr w14:paraId="4E09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46" w:type="dxa"/>
            <w:vAlign w:val="center"/>
          </w:tcPr>
          <w:p w14:paraId="61C4BD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w:t>
            </w:r>
          </w:p>
        </w:tc>
        <w:tc>
          <w:tcPr>
            <w:tcW w:w="4397" w:type="dxa"/>
            <w:shd w:val="clear" w:color="auto" w:fill="auto"/>
            <w:vAlign w:val="center"/>
          </w:tcPr>
          <w:p w14:paraId="5CE3FEF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A fluorescence sensing array based on photonic crystals and RAA for sensitive and high-throughput detection of Salmonella in foods</w:t>
            </w:r>
          </w:p>
        </w:tc>
        <w:tc>
          <w:tcPr>
            <w:tcW w:w="1237" w:type="dxa"/>
            <w:shd w:val="clear" w:color="auto" w:fill="auto"/>
            <w:vAlign w:val="center"/>
          </w:tcPr>
          <w:p w14:paraId="26B4CDC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李永新</w:t>
            </w:r>
          </w:p>
        </w:tc>
        <w:tc>
          <w:tcPr>
            <w:tcW w:w="2805" w:type="dxa"/>
            <w:shd w:val="clear" w:color="auto" w:fill="auto"/>
            <w:vAlign w:val="center"/>
          </w:tcPr>
          <w:p w14:paraId="3B41B8E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四川大学华西公共卫生学院</w:t>
            </w:r>
            <w:r>
              <w:rPr>
                <w:rFonts w:hint="eastAsia" w:ascii="仿宋" w:hAnsi="仿宋" w:eastAsia="仿宋" w:cs="仿宋"/>
                <w:color w:val="000000"/>
                <w:kern w:val="0"/>
                <w:sz w:val="21"/>
                <w:szCs w:val="21"/>
                <w:highlight w:val="none"/>
                <w:lang w:val="en-US" w:eastAsia="zh-CN" w:bidi="ar"/>
              </w:rPr>
              <w:br w:type="textWrapping"/>
            </w:r>
            <w:r>
              <w:rPr>
                <w:rFonts w:hint="eastAsia" w:ascii="仿宋" w:hAnsi="仿宋" w:eastAsia="仿宋" w:cs="仿宋"/>
                <w:color w:val="000000"/>
                <w:kern w:val="0"/>
                <w:sz w:val="21"/>
                <w:szCs w:val="21"/>
                <w:highlight w:val="none"/>
                <w:lang w:val="en-US" w:eastAsia="zh-CN" w:bidi="ar"/>
              </w:rPr>
              <w:t>/华西第四医院</w:t>
            </w:r>
          </w:p>
        </w:tc>
      </w:tr>
      <w:tr w14:paraId="570B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46" w:type="dxa"/>
            <w:vAlign w:val="center"/>
          </w:tcPr>
          <w:p w14:paraId="761B88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w:t>
            </w:r>
          </w:p>
        </w:tc>
        <w:tc>
          <w:tcPr>
            <w:tcW w:w="4397" w:type="dxa"/>
            <w:shd w:val="clear" w:color="auto" w:fill="auto"/>
            <w:vAlign w:val="center"/>
          </w:tcPr>
          <w:p w14:paraId="49E8603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成都市居民膳食模式与高血压的关联性研究</w:t>
            </w:r>
          </w:p>
        </w:tc>
        <w:tc>
          <w:tcPr>
            <w:tcW w:w="1237" w:type="dxa"/>
            <w:shd w:val="clear" w:color="auto" w:fill="auto"/>
            <w:vAlign w:val="center"/>
          </w:tcPr>
          <w:p w14:paraId="115E1F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钱雯</w:t>
            </w:r>
          </w:p>
        </w:tc>
        <w:tc>
          <w:tcPr>
            <w:tcW w:w="2805" w:type="dxa"/>
            <w:shd w:val="clear" w:color="auto" w:fill="auto"/>
            <w:vAlign w:val="center"/>
          </w:tcPr>
          <w:p w14:paraId="74E45D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成都市疾病预防控制中心</w:t>
            </w:r>
          </w:p>
        </w:tc>
      </w:tr>
      <w:tr w14:paraId="055F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46" w:type="dxa"/>
            <w:shd w:val="clear" w:color="auto" w:fill="auto"/>
            <w:vAlign w:val="center"/>
          </w:tcPr>
          <w:p w14:paraId="1D87347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w:t>
            </w:r>
          </w:p>
        </w:tc>
        <w:tc>
          <w:tcPr>
            <w:tcW w:w="4397" w:type="dxa"/>
            <w:shd w:val="clear" w:color="auto" w:fill="auto"/>
            <w:vAlign w:val="center"/>
          </w:tcPr>
          <w:p w14:paraId="42C2E03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fldChar w:fldCharType="begin"/>
            </w:r>
            <w:r>
              <w:rPr>
                <w:rFonts w:hint="eastAsia" w:ascii="仿宋" w:hAnsi="仿宋" w:eastAsia="仿宋" w:cs="仿宋"/>
                <w:color w:val="000000"/>
                <w:kern w:val="0"/>
                <w:sz w:val="21"/>
                <w:szCs w:val="21"/>
                <w:highlight w:val="none"/>
                <w:lang w:val="en-US" w:eastAsia="zh-CN" w:bidi="ar"/>
              </w:rPr>
              <w:instrText xml:space="preserve"> HYPERLINK "http://scsrmyyir.jhjulian.com.cn/web/doc/2023122410101100002" \o "http://scsrmyyir.jhjulian.com.cn/web/doc/2023122410101100002" </w:instrText>
            </w:r>
            <w:r>
              <w:rPr>
                <w:rFonts w:hint="eastAsia" w:ascii="仿宋" w:hAnsi="仿宋" w:eastAsia="仿宋" w:cs="仿宋"/>
                <w:color w:val="000000"/>
                <w:kern w:val="0"/>
                <w:sz w:val="21"/>
                <w:szCs w:val="21"/>
                <w:highlight w:val="none"/>
                <w:lang w:val="en-US" w:eastAsia="zh-CN" w:bidi="ar"/>
              </w:rPr>
              <w:fldChar w:fldCharType="separate"/>
            </w:r>
            <w:r>
              <w:rPr>
                <w:rFonts w:hint="eastAsia" w:ascii="仿宋" w:hAnsi="仿宋" w:eastAsia="仿宋" w:cs="仿宋"/>
                <w:color w:val="000000"/>
                <w:kern w:val="0"/>
                <w:sz w:val="21"/>
                <w:szCs w:val="21"/>
                <w:highlight w:val="none"/>
                <w:lang w:val="en-US" w:eastAsia="zh-CN" w:bidi="ar"/>
              </w:rPr>
              <w:t>Effectiveness of inspector mechanism for the emergency infection prevention and control in the SARS-CoV-2 epidemic period: a self-control real-word study</w:t>
            </w:r>
            <w:r>
              <w:rPr>
                <w:rFonts w:hint="eastAsia" w:ascii="仿宋" w:hAnsi="仿宋" w:eastAsia="仿宋" w:cs="仿宋"/>
                <w:color w:val="000000"/>
                <w:kern w:val="0"/>
                <w:sz w:val="21"/>
                <w:szCs w:val="21"/>
                <w:highlight w:val="none"/>
                <w:lang w:val="en-US" w:eastAsia="zh-CN" w:bidi="ar"/>
              </w:rPr>
              <w:fldChar w:fldCharType="end"/>
            </w:r>
          </w:p>
        </w:tc>
        <w:tc>
          <w:tcPr>
            <w:tcW w:w="1237" w:type="dxa"/>
            <w:shd w:val="clear" w:color="auto" w:fill="auto"/>
            <w:vAlign w:val="center"/>
          </w:tcPr>
          <w:p w14:paraId="7106797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曹洪容</w:t>
            </w:r>
          </w:p>
        </w:tc>
        <w:tc>
          <w:tcPr>
            <w:tcW w:w="2805" w:type="dxa"/>
            <w:shd w:val="clear" w:color="auto" w:fill="auto"/>
            <w:vAlign w:val="center"/>
          </w:tcPr>
          <w:p w14:paraId="0CACD52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四川省医学科学院·四川省人民医院</w:t>
            </w:r>
          </w:p>
        </w:tc>
      </w:tr>
      <w:tr w14:paraId="092B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46" w:type="dxa"/>
            <w:shd w:val="clear" w:color="auto" w:fill="auto"/>
            <w:vAlign w:val="center"/>
          </w:tcPr>
          <w:p w14:paraId="0F1052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w:t>
            </w:r>
          </w:p>
        </w:tc>
        <w:tc>
          <w:tcPr>
            <w:tcW w:w="4397" w:type="dxa"/>
            <w:shd w:val="clear" w:color="auto" w:fill="auto"/>
            <w:vAlign w:val="center"/>
          </w:tcPr>
          <w:p w14:paraId="393580C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某市2011至2021年新发尘肺病特征和生存分析</w:t>
            </w:r>
          </w:p>
        </w:tc>
        <w:tc>
          <w:tcPr>
            <w:tcW w:w="1237" w:type="dxa"/>
            <w:shd w:val="clear" w:color="auto" w:fill="auto"/>
            <w:vAlign w:val="center"/>
          </w:tcPr>
          <w:p w14:paraId="51EFAF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旷聃</w:t>
            </w:r>
          </w:p>
        </w:tc>
        <w:tc>
          <w:tcPr>
            <w:tcW w:w="2805" w:type="dxa"/>
            <w:shd w:val="clear" w:color="auto" w:fill="auto"/>
            <w:vAlign w:val="center"/>
          </w:tcPr>
          <w:p w14:paraId="7C13103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成都市疾病预防控制中心</w:t>
            </w:r>
          </w:p>
        </w:tc>
      </w:tr>
      <w:tr w14:paraId="3EC8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46" w:type="dxa"/>
            <w:shd w:val="clear" w:color="auto" w:fill="auto"/>
            <w:vAlign w:val="center"/>
          </w:tcPr>
          <w:p w14:paraId="0D7E737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w:t>
            </w:r>
          </w:p>
        </w:tc>
        <w:tc>
          <w:tcPr>
            <w:tcW w:w="4397" w:type="dxa"/>
            <w:shd w:val="clear" w:color="auto" w:fill="auto"/>
            <w:vAlign w:val="center"/>
          </w:tcPr>
          <w:p w14:paraId="7B0B0C5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Development and validation of an age-sexethnicity-specific metabolic syndrome score in the Chinese adults</w:t>
            </w:r>
          </w:p>
        </w:tc>
        <w:tc>
          <w:tcPr>
            <w:tcW w:w="1237" w:type="dxa"/>
            <w:shd w:val="clear" w:color="auto" w:fill="auto"/>
            <w:vAlign w:val="center"/>
          </w:tcPr>
          <w:p w14:paraId="485006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杨淑娟</w:t>
            </w:r>
          </w:p>
        </w:tc>
        <w:tc>
          <w:tcPr>
            <w:tcW w:w="2805" w:type="dxa"/>
            <w:shd w:val="clear" w:color="auto" w:fill="auto"/>
            <w:vAlign w:val="center"/>
          </w:tcPr>
          <w:p w14:paraId="69C32B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四川大学华西公共卫生学院/华西第四医院</w:t>
            </w:r>
          </w:p>
        </w:tc>
      </w:tr>
      <w:tr w14:paraId="7B5A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46" w:type="dxa"/>
            <w:shd w:val="clear" w:color="auto" w:fill="auto"/>
            <w:vAlign w:val="center"/>
          </w:tcPr>
          <w:p w14:paraId="671B45B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w:t>
            </w:r>
          </w:p>
        </w:tc>
        <w:tc>
          <w:tcPr>
            <w:tcW w:w="4397" w:type="dxa"/>
            <w:shd w:val="clear" w:color="auto" w:fill="auto"/>
            <w:vAlign w:val="center"/>
          </w:tcPr>
          <w:p w14:paraId="6FB3915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Effect Observation and Safety Evaluation Score of Systematic Health Education Nursing Mode in Knee Arthritis Nursing</w:t>
            </w:r>
          </w:p>
        </w:tc>
        <w:tc>
          <w:tcPr>
            <w:tcW w:w="1237" w:type="dxa"/>
            <w:shd w:val="clear" w:color="auto" w:fill="auto"/>
            <w:vAlign w:val="center"/>
          </w:tcPr>
          <w:p w14:paraId="10D5F2C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陈澜</w:t>
            </w:r>
          </w:p>
        </w:tc>
        <w:tc>
          <w:tcPr>
            <w:tcW w:w="2805" w:type="dxa"/>
            <w:shd w:val="clear" w:color="auto" w:fill="auto"/>
            <w:vAlign w:val="center"/>
          </w:tcPr>
          <w:p w14:paraId="023741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成都市第三人民医院</w:t>
            </w:r>
          </w:p>
        </w:tc>
      </w:tr>
      <w:tr w14:paraId="366E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46" w:type="dxa"/>
            <w:shd w:val="clear" w:color="auto" w:fill="auto"/>
            <w:vAlign w:val="center"/>
          </w:tcPr>
          <w:p w14:paraId="6D3027E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7</w:t>
            </w:r>
          </w:p>
        </w:tc>
        <w:tc>
          <w:tcPr>
            <w:tcW w:w="4397" w:type="dxa"/>
            <w:shd w:val="clear" w:color="auto" w:fill="auto"/>
            <w:vAlign w:val="center"/>
          </w:tcPr>
          <w:p w14:paraId="3BE770D1">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Comparison of the prognostic value, feasibility, and reproducibility among different scoring methods of 8-point lung ultrasonography in patients with acute heart failure</w:t>
            </w:r>
          </w:p>
        </w:tc>
        <w:tc>
          <w:tcPr>
            <w:tcW w:w="1237" w:type="dxa"/>
            <w:shd w:val="clear" w:color="auto" w:fill="auto"/>
            <w:vAlign w:val="center"/>
          </w:tcPr>
          <w:p w14:paraId="7B2C99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徐平</w:t>
            </w:r>
          </w:p>
        </w:tc>
        <w:tc>
          <w:tcPr>
            <w:tcW w:w="2805" w:type="dxa"/>
            <w:shd w:val="clear" w:color="auto" w:fill="auto"/>
            <w:vAlign w:val="center"/>
          </w:tcPr>
          <w:p w14:paraId="17E0BE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自贡市第四人民医院</w:t>
            </w:r>
          </w:p>
        </w:tc>
      </w:tr>
      <w:tr w14:paraId="34EA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46" w:type="dxa"/>
            <w:shd w:val="clear" w:color="auto" w:fill="auto"/>
            <w:vAlign w:val="center"/>
          </w:tcPr>
          <w:p w14:paraId="777513F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8</w:t>
            </w:r>
          </w:p>
        </w:tc>
        <w:tc>
          <w:tcPr>
            <w:tcW w:w="4397" w:type="dxa"/>
            <w:shd w:val="clear" w:color="auto" w:fill="auto"/>
            <w:vAlign w:val="center"/>
          </w:tcPr>
          <w:p w14:paraId="6B4B5D7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经阴道三维超声血流参数诊断宫腔粘连及评估病情程度 效能</w:t>
            </w:r>
          </w:p>
        </w:tc>
        <w:tc>
          <w:tcPr>
            <w:tcW w:w="1237" w:type="dxa"/>
            <w:shd w:val="clear" w:color="auto" w:fill="auto"/>
            <w:vAlign w:val="center"/>
          </w:tcPr>
          <w:p w14:paraId="303849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李思敏</w:t>
            </w:r>
          </w:p>
        </w:tc>
        <w:tc>
          <w:tcPr>
            <w:tcW w:w="2805" w:type="dxa"/>
            <w:shd w:val="clear" w:color="auto" w:fill="auto"/>
            <w:vAlign w:val="center"/>
          </w:tcPr>
          <w:p w14:paraId="692595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眉山市妇幼保健院</w:t>
            </w:r>
          </w:p>
        </w:tc>
      </w:tr>
      <w:tr w14:paraId="7E01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46" w:type="dxa"/>
            <w:vAlign w:val="center"/>
          </w:tcPr>
          <w:p w14:paraId="1029AD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9</w:t>
            </w:r>
          </w:p>
        </w:tc>
        <w:tc>
          <w:tcPr>
            <w:tcW w:w="4397" w:type="dxa"/>
            <w:shd w:val="clear" w:color="auto" w:fill="auto"/>
            <w:vAlign w:val="center"/>
          </w:tcPr>
          <w:p w14:paraId="1664534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Dexmedetomidine alleviates ferroptosis following hepatic ischemia- reperfusion injury by upregulating Nrf2/GPx4-</w:t>
            </w:r>
            <w:r>
              <w:rPr>
                <w:rFonts w:hint="eastAsia" w:ascii="仿宋" w:hAnsi="仿宋" w:eastAsia="仿宋" w:cs="仿宋"/>
                <w:color w:val="000000"/>
                <w:kern w:val="0"/>
                <w:sz w:val="21"/>
                <w:szCs w:val="21"/>
                <w:highlight w:val="none"/>
                <w:lang w:val="en-US" w:eastAsia="zh-CN" w:bidi="ar"/>
              </w:rPr>
              <w:br w:type="textWrapping"/>
            </w:r>
            <w:r>
              <w:rPr>
                <w:rFonts w:hint="eastAsia" w:ascii="仿宋" w:hAnsi="仿宋" w:eastAsia="仿宋" w:cs="仿宋"/>
                <w:color w:val="000000"/>
                <w:kern w:val="0"/>
                <w:sz w:val="21"/>
                <w:szCs w:val="21"/>
                <w:highlight w:val="none"/>
                <w:lang w:val="en-US" w:eastAsia="zh-CN" w:bidi="ar"/>
              </w:rPr>
              <w:t>dependent antioxidant responses</w:t>
            </w:r>
          </w:p>
        </w:tc>
        <w:tc>
          <w:tcPr>
            <w:tcW w:w="1237" w:type="dxa"/>
            <w:shd w:val="clear" w:color="auto" w:fill="auto"/>
            <w:vAlign w:val="center"/>
          </w:tcPr>
          <w:p w14:paraId="4529EE9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张永俊</w:t>
            </w:r>
          </w:p>
        </w:tc>
        <w:tc>
          <w:tcPr>
            <w:tcW w:w="2805" w:type="dxa"/>
            <w:shd w:val="clear" w:color="auto" w:fill="auto"/>
            <w:vAlign w:val="center"/>
          </w:tcPr>
          <w:p w14:paraId="1C1438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成都市第七人民医院</w:t>
            </w:r>
          </w:p>
        </w:tc>
      </w:tr>
      <w:tr w14:paraId="121E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46" w:type="dxa"/>
            <w:vAlign w:val="center"/>
          </w:tcPr>
          <w:p w14:paraId="13A74D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w:t>
            </w:r>
          </w:p>
        </w:tc>
        <w:tc>
          <w:tcPr>
            <w:tcW w:w="4397" w:type="dxa"/>
            <w:shd w:val="clear" w:color="auto" w:fill="auto"/>
            <w:vAlign w:val="center"/>
          </w:tcPr>
          <w:p w14:paraId="2515215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Real-world applications of PARPi maintenance therapy for recurrent ovarian cancer: A single-center study in China.</w:t>
            </w:r>
          </w:p>
        </w:tc>
        <w:tc>
          <w:tcPr>
            <w:tcW w:w="1237" w:type="dxa"/>
            <w:shd w:val="clear" w:color="auto" w:fill="auto"/>
            <w:vAlign w:val="center"/>
          </w:tcPr>
          <w:p w14:paraId="3550B5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王登凤</w:t>
            </w:r>
            <w:r>
              <w:rPr>
                <w:rFonts w:hint="eastAsia" w:ascii="仿宋" w:hAnsi="仿宋" w:eastAsia="仿宋" w:cs="仿宋"/>
                <w:color w:val="000000"/>
                <w:kern w:val="0"/>
                <w:sz w:val="21"/>
                <w:szCs w:val="21"/>
                <w:highlight w:val="none"/>
                <w:lang w:val="en-US" w:eastAsia="zh-CN" w:bidi="ar"/>
              </w:rPr>
              <w:br w:type="textWrapping"/>
            </w:r>
          </w:p>
        </w:tc>
        <w:tc>
          <w:tcPr>
            <w:tcW w:w="2805" w:type="dxa"/>
            <w:shd w:val="clear" w:color="auto" w:fill="auto"/>
            <w:vAlign w:val="center"/>
          </w:tcPr>
          <w:p w14:paraId="66CB28D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四川省肿瘤医院</w:t>
            </w:r>
          </w:p>
        </w:tc>
      </w:tr>
    </w:tbl>
    <w:p w14:paraId="38361A31">
      <w:pPr>
        <w:jc w:val="both"/>
        <w:rPr>
          <w:rFonts w:hint="eastAsia"/>
          <w:b/>
          <w:bCs/>
          <w:sz w:val="28"/>
          <w:szCs w:val="36"/>
        </w:rPr>
      </w:pPr>
    </w:p>
    <w:p w14:paraId="157CC36C">
      <w:pPr>
        <w:jc w:val="cente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rPr>
        <w:t>青年优秀论文</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15篇</w:t>
      </w:r>
      <w:r>
        <w:rPr>
          <w:rFonts w:hint="eastAsia" w:ascii="仿宋_GB2312" w:hAnsi="仿宋_GB2312" w:eastAsia="仿宋_GB2312" w:cs="仿宋_GB2312"/>
          <w:b/>
          <w:bCs/>
          <w:sz w:val="32"/>
          <w:szCs w:val="40"/>
          <w:lang w:eastAsia="zh-CN"/>
        </w:rPr>
        <w:t>）</w:t>
      </w:r>
    </w:p>
    <w:tbl>
      <w:tblPr>
        <w:tblStyle w:val="3"/>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4650"/>
        <w:gridCol w:w="1200"/>
        <w:gridCol w:w="2700"/>
      </w:tblGrid>
      <w:tr w14:paraId="27B3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0" w:type="dxa"/>
            <w:vAlign w:val="center"/>
          </w:tcPr>
          <w:p w14:paraId="506922A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序号</w:t>
            </w:r>
          </w:p>
        </w:tc>
        <w:tc>
          <w:tcPr>
            <w:tcW w:w="4650" w:type="dxa"/>
            <w:vAlign w:val="center"/>
          </w:tcPr>
          <w:p w14:paraId="708AC8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论文名称</w:t>
            </w:r>
          </w:p>
        </w:tc>
        <w:tc>
          <w:tcPr>
            <w:tcW w:w="1200" w:type="dxa"/>
            <w:vAlign w:val="center"/>
          </w:tcPr>
          <w:p w14:paraId="15C329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申报人</w:t>
            </w:r>
          </w:p>
        </w:tc>
        <w:tc>
          <w:tcPr>
            <w:tcW w:w="2700" w:type="dxa"/>
            <w:vAlign w:val="center"/>
          </w:tcPr>
          <w:p w14:paraId="587A6E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bidi="ar"/>
              </w:rPr>
              <w:t>申报单位</w:t>
            </w:r>
          </w:p>
        </w:tc>
      </w:tr>
      <w:tr w14:paraId="6537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20" w:type="dxa"/>
            <w:shd w:val="clear" w:color="auto" w:fill="auto"/>
            <w:vAlign w:val="center"/>
          </w:tcPr>
          <w:p w14:paraId="1A3EEE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w:t>
            </w:r>
          </w:p>
        </w:tc>
        <w:tc>
          <w:tcPr>
            <w:tcW w:w="4650" w:type="dxa"/>
            <w:shd w:val="clear" w:color="auto" w:fill="auto"/>
            <w:vAlign w:val="center"/>
          </w:tcPr>
          <w:p w14:paraId="7637606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Longitudinal study of</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mental health changes in</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residents affected by an</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initial outbreak of</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COVID-19 in China</w:t>
            </w:r>
          </w:p>
        </w:tc>
        <w:tc>
          <w:tcPr>
            <w:tcW w:w="1200" w:type="dxa"/>
            <w:shd w:val="clear" w:color="auto" w:fill="auto"/>
            <w:vAlign w:val="center"/>
          </w:tcPr>
          <w:p w14:paraId="16E491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杜娜</w:t>
            </w:r>
          </w:p>
        </w:tc>
        <w:tc>
          <w:tcPr>
            <w:tcW w:w="2700" w:type="dxa"/>
            <w:shd w:val="clear" w:color="auto" w:fill="auto"/>
            <w:vAlign w:val="center"/>
          </w:tcPr>
          <w:p w14:paraId="0F494A0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成都市第四人民医院</w:t>
            </w:r>
          </w:p>
        </w:tc>
      </w:tr>
      <w:tr w14:paraId="524E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0" w:type="dxa"/>
            <w:shd w:val="clear" w:color="auto" w:fill="auto"/>
            <w:vAlign w:val="center"/>
          </w:tcPr>
          <w:p w14:paraId="4580C18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w:t>
            </w:r>
          </w:p>
        </w:tc>
        <w:tc>
          <w:tcPr>
            <w:tcW w:w="4650" w:type="dxa"/>
            <w:shd w:val="clear" w:color="auto" w:fill="auto"/>
            <w:vAlign w:val="center"/>
          </w:tcPr>
          <w:p w14:paraId="2E96B0C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成都市新冠病毒既往感染者重复感染omicron变异株情况分析</w:t>
            </w:r>
          </w:p>
        </w:tc>
        <w:tc>
          <w:tcPr>
            <w:tcW w:w="1200" w:type="dxa"/>
            <w:shd w:val="clear" w:color="auto" w:fill="auto"/>
            <w:vAlign w:val="center"/>
          </w:tcPr>
          <w:p w14:paraId="71E791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戴映雪</w:t>
            </w:r>
          </w:p>
        </w:tc>
        <w:tc>
          <w:tcPr>
            <w:tcW w:w="2700" w:type="dxa"/>
            <w:shd w:val="clear" w:color="auto" w:fill="auto"/>
            <w:vAlign w:val="center"/>
          </w:tcPr>
          <w:p w14:paraId="4377ED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成都市疾病预防控制中心</w:t>
            </w:r>
          </w:p>
        </w:tc>
      </w:tr>
      <w:tr w14:paraId="1990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20" w:type="dxa"/>
            <w:shd w:val="clear" w:color="auto" w:fill="auto"/>
            <w:vAlign w:val="center"/>
          </w:tcPr>
          <w:p w14:paraId="4E3D93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w:t>
            </w:r>
          </w:p>
        </w:tc>
        <w:tc>
          <w:tcPr>
            <w:tcW w:w="4650" w:type="dxa"/>
            <w:shd w:val="clear" w:color="auto" w:fill="auto"/>
            <w:vAlign w:val="center"/>
          </w:tcPr>
          <w:p w14:paraId="7F05BA7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Effect of physical activity intervention on cognitive function: A cluster randomized trial</w:t>
            </w:r>
          </w:p>
        </w:tc>
        <w:tc>
          <w:tcPr>
            <w:tcW w:w="1200" w:type="dxa"/>
            <w:shd w:val="clear" w:color="auto" w:fill="auto"/>
            <w:vAlign w:val="center"/>
          </w:tcPr>
          <w:p w14:paraId="51E0E8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周峻民</w:t>
            </w:r>
          </w:p>
        </w:tc>
        <w:tc>
          <w:tcPr>
            <w:tcW w:w="2700" w:type="dxa"/>
            <w:shd w:val="clear" w:color="auto" w:fill="auto"/>
            <w:vAlign w:val="center"/>
          </w:tcPr>
          <w:p w14:paraId="5CF210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四川大学华西公共卫生学院/华西第四医院</w:t>
            </w:r>
          </w:p>
        </w:tc>
      </w:tr>
      <w:tr w14:paraId="5797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20" w:type="dxa"/>
            <w:shd w:val="clear" w:color="auto" w:fill="auto"/>
            <w:vAlign w:val="center"/>
          </w:tcPr>
          <w:p w14:paraId="6746C12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w:t>
            </w:r>
          </w:p>
        </w:tc>
        <w:tc>
          <w:tcPr>
            <w:tcW w:w="4650" w:type="dxa"/>
            <w:shd w:val="clear" w:color="auto" w:fill="auto"/>
            <w:vAlign w:val="center"/>
          </w:tcPr>
          <w:p w14:paraId="2C04802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The relationship between family function and the incidence of overweight/obesity in children and adolescents in Chengdu city, Sichuan province of China: based on latent profile analysis</w:t>
            </w:r>
          </w:p>
        </w:tc>
        <w:tc>
          <w:tcPr>
            <w:tcW w:w="1200" w:type="dxa"/>
            <w:shd w:val="clear" w:color="auto" w:fill="auto"/>
            <w:vAlign w:val="center"/>
          </w:tcPr>
          <w:p w14:paraId="2F6C13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蒋茜茜</w:t>
            </w:r>
          </w:p>
        </w:tc>
        <w:tc>
          <w:tcPr>
            <w:tcW w:w="2700" w:type="dxa"/>
            <w:shd w:val="clear" w:color="auto" w:fill="auto"/>
            <w:vAlign w:val="center"/>
          </w:tcPr>
          <w:p w14:paraId="67A44A5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四川大学华西第二医院</w:t>
            </w:r>
          </w:p>
        </w:tc>
      </w:tr>
      <w:tr w14:paraId="0AC8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920" w:type="dxa"/>
            <w:shd w:val="clear" w:color="auto" w:fill="auto"/>
            <w:vAlign w:val="center"/>
          </w:tcPr>
          <w:p w14:paraId="6FD02B5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w:t>
            </w:r>
          </w:p>
        </w:tc>
        <w:tc>
          <w:tcPr>
            <w:tcW w:w="4650" w:type="dxa"/>
            <w:shd w:val="clear" w:color="auto" w:fill="auto"/>
            <w:vAlign w:val="center"/>
          </w:tcPr>
          <w:p w14:paraId="044413C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Psychological capital and organizational citizenship behavior among nurses during the COVID-19 epidemic: mediation of</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organizational commitment</w:t>
            </w:r>
          </w:p>
        </w:tc>
        <w:tc>
          <w:tcPr>
            <w:tcW w:w="1200" w:type="dxa"/>
            <w:shd w:val="clear" w:color="auto" w:fill="auto"/>
            <w:vAlign w:val="center"/>
          </w:tcPr>
          <w:p w14:paraId="0160286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曾丽</w:t>
            </w:r>
          </w:p>
        </w:tc>
        <w:tc>
          <w:tcPr>
            <w:tcW w:w="2700" w:type="dxa"/>
            <w:shd w:val="clear" w:color="auto" w:fill="auto"/>
            <w:vAlign w:val="center"/>
          </w:tcPr>
          <w:p w14:paraId="2A4FF5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四川护理职业学院</w:t>
            </w:r>
          </w:p>
        </w:tc>
      </w:tr>
      <w:tr w14:paraId="6B5C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0" w:type="dxa"/>
            <w:shd w:val="clear" w:color="auto" w:fill="auto"/>
            <w:vAlign w:val="center"/>
          </w:tcPr>
          <w:p w14:paraId="26B85A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w:t>
            </w:r>
          </w:p>
        </w:tc>
        <w:tc>
          <w:tcPr>
            <w:tcW w:w="4650" w:type="dxa"/>
            <w:shd w:val="clear" w:color="auto" w:fill="auto"/>
            <w:vAlign w:val="center"/>
          </w:tcPr>
          <w:p w14:paraId="6BA4649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Development and</w:t>
            </w:r>
            <w:r>
              <w:rPr>
                <w:rFonts w:hint="eastAsia" w:ascii="仿宋" w:hAnsi="仿宋" w:eastAsia="仿宋" w:cs="仿宋"/>
                <w:color w:val="000000"/>
                <w:kern w:val="0"/>
                <w:sz w:val="21"/>
                <w:szCs w:val="21"/>
                <w:highlight w:val="none"/>
                <w:lang w:bidi="ar"/>
              </w:rPr>
              <w:br w:type="textWrapping"/>
            </w:r>
            <w:r>
              <w:rPr>
                <w:rFonts w:hint="eastAsia" w:ascii="仿宋" w:hAnsi="仿宋" w:eastAsia="仿宋" w:cs="仿宋"/>
                <w:color w:val="000000"/>
                <w:kern w:val="0"/>
                <w:sz w:val="21"/>
                <w:szCs w:val="21"/>
                <w:highlight w:val="none"/>
                <w:lang w:bidi="ar"/>
              </w:rPr>
              <w:t>validation of a nomogram for predicting suicide risk and prognostic factors in  bladder cancer patients following diagnosis:A population-based retrospective study</w:t>
            </w:r>
          </w:p>
        </w:tc>
        <w:tc>
          <w:tcPr>
            <w:tcW w:w="1200" w:type="dxa"/>
            <w:shd w:val="clear" w:color="auto" w:fill="auto"/>
            <w:vAlign w:val="center"/>
          </w:tcPr>
          <w:p w14:paraId="0AB3EF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肖宇</w:t>
            </w:r>
            <w:r>
              <w:rPr>
                <w:rFonts w:hint="eastAsia" w:ascii="仿宋" w:hAnsi="仿宋" w:eastAsia="仿宋" w:cs="仿宋"/>
                <w:color w:val="000000"/>
                <w:kern w:val="0"/>
                <w:sz w:val="21"/>
                <w:szCs w:val="21"/>
                <w:highlight w:val="none"/>
                <w:lang w:bidi="ar"/>
              </w:rPr>
              <w:br w:type="textWrapping"/>
            </w:r>
          </w:p>
        </w:tc>
        <w:tc>
          <w:tcPr>
            <w:tcW w:w="2700" w:type="dxa"/>
            <w:shd w:val="clear" w:color="auto" w:fill="auto"/>
            <w:vAlign w:val="center"/>
          </w:tcPr>
          <w:p w14:paraId="0425F9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成都市第四人民医院</w:t>
            </w:r>
          </w:p>
        </w:tc>
      </w:tr>
      <w:tr w14:paraId="2AA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20" w:type="dxa"/>
            <w:shd w:val="clear" w:color="auto" w:fill="auto"/>
            <w:vAlign w:val="center"/>
          </w:tcPr>
          <w:p w14:paraId="100A55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7</w:t>
            </w:r>
          </w:p>
        </w:tc>
        <w:tc>
          <w:tcPr>
            <w:tcW w:w="4650" w:type="dxa"/>
            <w:shd w:val="clear" w:color="auto" w:fill="auto"/>
            <w:vAlign w:val="center"/>
          </w:tcPr>
          <w:p w14:paraId="4DB42CC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中国女性成年期体质量指数及增重量与肥胖相关乳腺癌风险标志物的关联研究</w:t>
            </w:r>
          </w:p>
        </w:tc>
        <w:tc>
          <w:tcPr>
            <w:tcW w:w="1200" w:type="dxa"/>
            <w:shd w:val="clear" w:color="auto" w:fill="auto"/>
            <w:vAlign w:val="center"/>
          </w:tcPr>
          <w:p w14:paraId="16DABDF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周敏</w:t>
            </w:r>
          </w:p>
        </w:tc>
        <w:tc>
          <w:tcPr>
            <w:tcW w:w="2700" w:type="dxa"/>
            <w:shd w:val="clear" w:color="auto" w:fill="auto"/>
            <w:vAlign w:val="center"/>
          </w:tcPr>
          <w:p w14:paraId="47B031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 xml:space="preserve">成都市双流区妇幼保健院 </w:t>
            </w:r>
          </w:p>
        </w:tc>
      </w:tr>
      <w:tr w14:paraId="06A4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20" w:type="dxa"/>
            <w:shd w:val="clear" w:color="auto" w:fill="auto"/>
            <w:vAlign w:val="center"/>
          </w:tcPr>
          <w:p w14:paraId="0E8E0E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8</w:t>
            </w:r>
          </w:p>
        </w:tc>
        <w:tc>
          <w:tcPr>
            <w:tcW w:w="4650" w:type="dxa"/>
            <w:shd w:val="clear" w:color="auto" w:fill="auto"/>
            <w:vAlign w:val="center"/>
          </w:tcPr>
          <w:p w14:paraId="36578FD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成都市2010―2021年校外青少年HIV/AIDS空间聚集性分析</w:t>
            </w:r>
          </w:p>
        </w:tc>
        <w:tc>
          <w:tcPr>
            <w:tcW w:w="1200" w:type="dxa"/>
            <w:shd w:val="clear" w:color="auto" w:fill="auto"/>
            <w:vAlign w:val="center"/>
          </w:tcPr>
          <w:p w14:paraId="755135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施雅莹</w:t>
            </w:r>
          </w:p>
        </w:tc>
        <w:tc>
          <w:tcPr>
            <w:tcW w:w="2700" w:type="dxa"/>
            <w:shd w:val="clear" w:color="auto" w:fill="auto"/>
            <w:vAlign w:val="center"/>
          </w:tcPr>
          <w:p w14:paraId="26A8B9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成都市疾病预防控制中心</w:t>
            </w:r>
          </w:p>
        </w:tc>
      </w:tr>
      <w:tr w14:paraId="51C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20" w:type="dxa"/>
            <w:shd w:val="clear" w:color="auto" w:fill="auto"/>
            <w:vAlign w:val="center"/>
          </w:tcPr>
          <w:p w14:paraId="32FC7D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9</w:t>
            </w:r>
          </w:p>
        </w:tc>
        <w:tc>
          <w:tcPr>
            <w:tcW w:w="4650" w:type="dxa"/>
            <w:shd w:val="clear" w:color="auto" w:fill="auto"/>
            <w:vAlign w:val="center"/>
          </w:tcPr>
          <w:p w14:paraId="2C8CC52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Association of the triglyceride-glucose index with coronary artery disease complexity in patients with acute coronary syndrome</w:t>
            </w:r>
          </w:p>
        </w:tc>
        <w:tc>
          <w:tcPr>
            <w:tcW w:w="1200" w:type="dxa"/>
            <w:shd w:val="clear" w:color="auto" w:fill="auto"/>
            <w:vAlign w:val="center"/>
          </w:tcPr>
          <w:p w14:paraId="535FE5A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熊诗强</w:t>
            </w:r>
          </w:p>
        </w:tc>
        <w:tc>
          <w:tcPr>
            <w:tcW w:w="2700" w:type="dxa"/>
            <w:shd w:val="clear" w:color="auto" w:fill="auto"/>
            <w:vAlign w:val="center"/>
          </w:tcPr>
          <w:p w14:paraId="4CF368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成都市第三人民医院</w:t>
            </w:r>
          </w:p>
        </w:tc>
      </w:tr>
      <w:tr w14:paraId="4778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920" w:type="dxa"/>
            <w:shd w:val="clear" w:color="auto" w:fill="auto"/>
            <w:vAlign w:val="center"/>
          </w:tcPr>
          <w:p w14:paraId="2FE773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10</w:t>
            </w:r>
          </w:p>
        </w:tc>
        <w:tc>
          <w:tcPr>
            <w:tcW w:w="4650" w:type="dxa"/>
            <w:shd w:val="clear" w:color="auto" w:fill="auto"/>
            <w:vAlign w:val="center"/>
          </w:tcPr>
          <w:p w14:paraId="1CFE34F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Patterns of</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Structural</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Changes in the</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Fundus</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Measured by</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0ptical</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Coherence</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Tomography</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Angiography as</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Potential</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Markers of</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Acute</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 xml:space="preserve">Mountain Sickness </w:t>
            </w:r>
          </w:p>
        </w:tc>
        <w:tc>
          <w:tcPr>
            <w:tcW w:w="1200" w:type="dxa"/>
            <w:shd w:val="clear" w:color="auto" w:fill="auto"/>
            <w:vAlign w:val="center"/>
          </w:tcPr>
          <w:p w14:paraId="06F390B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赵元程</w:t>
            </w:r>
            <w:r>
              <w:rPr>
                <w:rFonts w:hint="eastAsia" w:ascii="仿宋" w:hAnsi="仿宋" w:eastAsia="仿宋" w:cs="仿宋"/>
                <w:color w:val="000000"/>
                <w:kern w:val="0"/>
                <w:sz w:val="21"/>
                <w:szCs w:val="21"/>
                <w:highlight w:val="none"/>
                <w:lang w:bidi="ar"/>
              </w:rPr>
              <w:br w:type="textWrapping"/>
            </w:r>
          </w:p>
        </w:tc>
        <w:tc>
          <w:tcPr>
            <w:tcW w:w="2700" w:type="dxa"/>
            <w:shd w:val="clear" w:color="auto" w:fill="auto"/>
            <w:vAlign w:val="center"/>
          </w:tcPr>
          <w:p w14:paraId="6B581EB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中国人民解放军西部战区总医院</w:t>
            </w:r>
          </w:p>
        </w:tc>
      </w:tr>
      <w:tr w14:paraId="13CF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20" w:type="dxa"/>
            <w:shd w:val="clear" w:color="auto" w:fill="auto"/>
            <w:vAlign w:val="center"/>
          </w:tcPr>
          <w:p w14:paraId="32196D9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11</w:t>
            </w:r>
          </w:p>
        </w:tc>
        <w:tc>
          <w:tcPr>
            <w:tcW w:w="4650" w:type="dxa"/>
            <w:shd w:val="clear" w:color="auto" w:fill="auto"/>
            <w:vAlign w:val="center"/>
          </w:tcPr>
          <w:p w14:paraId="7A13CF6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Prognostic analysis of percutaneous vertebroplasty (PVP) combined with 125I implantation on lumbosacral vertebral osteoblastic metastases</w:t>
            </w:r>
          </w:p>
        </w:tc>
        <w:tc>
          <w:tcPr>
            <w:tcW w:w="1200" w:type="dxa"/>
            <w:shd w:val="clear" w:color="auto" w:fill="auto"/>
            <w:vAlign w:val="center"/>
          </w:tcPr>
          <w:p w14:paraId="679B8D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徐磊</w:t>
            </w:r>
            <w:r>
              <w:rPr>
                <w:rFonts w:hint="eastAsia" w:ascii="仿宋" w:hAnsi="仿宋" w:eastAsia="仿宋" w:cs="仿宋"/>
                <w:color w:val="000000"/>
                <w:kern w:val="0"/>
                <w:sz w:val="21"/>
                <w:szCs w:val="21"/>
                <w:highlight w:val="none"/>
                <w:lang w:bidi="ar"/>
              </w:rPr>
              <w:br w:type="textWrapping"/>
            </w:r>
          </w:p>
        </w:tc>
        <w:tc>
          <w:tcPr>
            <w:tcW w:w="2700" w:type="dxa"/>
            <w:shd w:val="clear" w:color="auto" w:fill="auto"/>
            <w:vAlign w:val="center"/>
          </w:tcPr>
          <w:p w14:paraId="5D46FCC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成都市第七人民医院</w:t>
            </w:r>
          </w:p>
        </w:tc>
      </w:tr>
      <w:tr w14:paraId="47FF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20" w:type="dxa"/>
            <w:shd w:val="clear" w:color="auto" w:fill="auto"/>
            <w:vAlign w:val="center"/>
          </w:tcPr>
          <w:p w14:paraId="10E3B9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12</w:t>
            </w:r>
          </w:p>
        </w:tc>
        <w:tc>
          <w:tcPr>
            <w:tcW w:w="4650" w:type="dxa"/>
            <w:shd w:val="clear" w:color="auto" w:fill="auto"/>
            <w:vAlign w:val="center"/>
          </w:tcPr>
          <w:p w14:paraId="221D293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The clinical value of combining shear wave</w:t>
            </w:r>
            <w:r>
              <w:rPr>
                <w:rFonts w:hint="eastAsia" w:ascii="仿宋" w:hAnsi="仿宋" w:eastAsia="仿宋" w:cs="仿宋"/>
                <w:color w:val="000000"/>
                <w:kern w:val="0"/>
                <w:sz w:val="21"/>
                <w:szCs w:val="21"/>
                <w:highlight w:val="none"/>
                <w:lang w:val="en-US" w:eastAsia="zh-CN" w:bidi="ar"/>
              </w:rPr>
              <w:t xml:space="preserve"> </w:t>
            </w:r>
            <w:r>
              <w:rPr>
                <w:rFonts w:hint="eastAsia" w:ascii="仿宋" w:hAnsi="仿宋" w:eastAsia="仿宋" w:cs="仿宋"/>
                <w:color w:val="000000"/>
                <w:kern w:val="0"/>
                <w:sz w:val="21"/>
                <w:szCs w:val="21"/>
                <w:highlight w:val="none"/>
                <w:lang w:bidi="ar"/>
              </w:rPr>
              <w:t>elastography,VOCAL technique and T2* MRl of early gestation placentato predict pre-eclampsia</w:t>
            </w:r>
          </w:p>
        </w:tc>
        <w:tc>
          <w:tcPr>
            <w:tcW w:w="1200" w:type="dxa"/>
            <w:shd w:val="clear" w:color="auto" w:fill="auto"/>
            <w:vAlign w:val="center"/>
          </w:tcPr>
          <w:p w14:paraId="197621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谢川博</w:t>
            </w:r>
          </w:p>
        </w:tc>
        <w:tc>
          <w:tcPr>
            <w:tcW w:w="2700" w:type="dxa"/>
            <w:shd w:val="clear" w:color="auto" w:fill="auto"/>
            <w:vAlign w:val="center"/>
          </w:tcPr>
          <w:p w14:paraId="14EE65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bidi="ar"/>
              </w:rPr>
              <w:t>自贡市妇幼保健院</w:t>
            </w:r>
          </w:p>
        </w:tc>
      </w:tr>
      <w:tr w14:paraId="0F3E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20" w:type="dxa"/>
            <w:shd w:val="clear" w:color="auto" w:fill="auto"/>
            <w:vAlign w:val="center"/>
          </w:tcPr>
          <w:p w14:paraId="386686D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13</w:t>
            </w:r>
          </w:p>
        </w:tc>
        <w:tc>
          <w:tcPr>
            <w:tcW w:w="4650" w:type="dxa"/>
            <w:shd w:val="clear" w:color="auto" w:fill="auto"/>
            <w:vAlign w:val="center"/>
          </w:tcPr>
          <w:p w14:paraId="0EEDE50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Colchicine delivered by a novel nanoparticle platform alleviates atherosclerosis by targeted inhibition of NF-κB/NLRP3 pathways in inflammatory endothelial cells</w:t>
            </w:r>
          </w:p>
        </w:tc>
        <w:tc>
          <w:tcPr>
            <w:tcW w:w="1200" w:type="dxa"/>
            <w:shd w:val="clear" w:color="auto" w:fill="auto"/>
            <w:vAlign w:val="center"/>
          </w:tcPr>
          <w:p w14:paraId="7839A3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唐娟</w:t>
            </w:r>
          </w:p>
        </w:tc>
        <w:tc>
          <w:tcPr>
            <w:tcW w:w="2700" w:type="dxa"/>
            <w:shd w:val="clear" w:color="auto" w:fill="auto"/>
            <w:vAlign w:val="center"/>
          </w:tcPr>
          <w:p w14:paraId="6A28B7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资阳市中心医院</w:t>
            </w:r>
          </w:p>
        </w:tc>
      </w:tr>
      <w:tr w14:paraId="05E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20" w:type="dxa"/>
            <w:shd w:val="clear" w:color="auto" w:fill="auto"/>
            <w:vAlign w:val="center"/>
          </w:tcPr>
          <w:p w14:paraId="43D9D94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14</w:t>
            </w:r>
          </w:p>
        </w:tc>
        <w:tc>
          <w:tcPr>
            <w:tcW w:w="4650" w:type="dxa"/>
            <w:shd w:val="clear" w:color="auto" w:fill="auto"/>
            <w:vAlign w:val="center"/>
          </w:tcPr>
          <w:p w14:paraId="4B8DDE9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i w:val="0"/>
                <w:iCs w:val="0"/>
                <w:color w:val="000000"/>
                <w:kern w:val="0"/>
                <w:sz w:val="21"/>
                <w:szCs w:val="21"/>
                <w:highlight w:val="none"/>
                <w:u w:val="none"/>
                <w:lang w:val="en-US" w:eastAsia="zh-CN" w:bidi="ar"/>
              </w:rPr>
              <w:t>Ferredoxin 1 调节多囊卵巢综合征中的颗粒细胞凋亡和自噬</w:t>
            </w:r>
          </w:p>
        </w:tc>
        <w:tc>
          <w:tcPr>
            <w:tcW w:w="1200" w:type="dxa"/>
            <w:shd w:val="clear" w:color="auto" w:fill="auto"/>
            <w:vAlign w:val="center"/>
          </w:tcPr>
          <w:p w14:paraId="0D1620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易婧妍</w:t>
            </w:r>
          </w:p>
        </w:tc>
        <w:tc>
          <w:tcPr>
            <w:tcW w:w="2700" w:type="dxa"/>
            <w:shd w:val="clear" w:color="auto" w:fill="auto"/>
            <w:vAlign w:val="center"/>
          </w:tcPr>
          <w:p w14:paraId="385CB7F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西南医科大学</w:t>
            </w:r>
          </w:p>
        </w:tc>
      </w:tr>
      <w:tr w14:paraId="5AEB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920" w:type="dxa"/>
            <w:vAlign w:val="center"/>
          </w:tcPr>
          <w:p w14:paraId="04D2745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15</w:t>
            </w:r>
          </w:p>
        </w:tc>
        <w:tc>
          <w:tcPr>
            <w:tcW w:w="4650" w:type="dxa"/>
            <w:shd w:val="clear" w:color="auto" w:fill="auto"/>
            <w:vAlign w:val="center"/>
          </w:tcPr>
          <w:p w14:paraId="220A76AE">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Pharmacological inhibition of EZH2 by ZLD1039 suppresses tumor growth and pulmonary metastasis in melanoma cells in vitro and in vivo</w:t>
            </w:r>
          </w:p>
        </w:tc>
        <w:tc>
          <w:tcPr>
            <w:tcW w:w="1200" w:type="dxa"/>
            <w:shd w:val="clear" w:color="auto" w:fill="auto"/>
            <w:vAlign w:val="center"/>
          </w:tcPr>
          <w:p w14:paraId="136B80C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朱永霞</w:t>
            </w:r>
          </w:p>
        </w:tc>
        <w:tc>
          <w:tcPr>
            <w:tcW w:w="2700" w:type="dxa"/>
            <w:shd w:val="clear" w:color="auto" w:fill="auto"/>
            <w:vAlign w:val="center"/>
          </w:tcPr>
          <w:p w14:paraId="170A455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四川省肿瘤医院</w:t>
            </w:r>
          </w:p>
        </w:tc>
      </w:tr>
    </w:tbl>
    <w:p w14:paraId="4EDE26F4">
      <w:pPr>
        <w:jc w:val="left"/>
        <w:rPr>
          <w:rFonts w:hint="eastAsia" w:ascii="黑体" w:hAnsi="黑体" w:eastAsia="黑体" w:cs="黑体"/>
          <w:b w:val="0"/>
          <w:bCs w:val="0"/>
          <w:sz w:val="28"/>
          <w:szCs w:val="28"/>
          <w:lang w:val="en-US" w:eastAsia="zh-CN"/>
        </w:rPr>
      </w:pPr>
    </w:p>
    <w:p w14:paraId="0D476718">
      <w:pPr>
        <w:jc w:val="left"/>
        <w:rPr>
          <w:rFonts w:hint="eastAsia" w:ascii="黑体" w:hAnsi="黑体" w:eastAsia="黑体" w:cs="黑体"/>
          <w:b w:val="0"/>
          <w:bCs w:val="0"/>
          <w:sz w:val="28"/>
          <w:szCs w:val="28"/>
          <w:lang w:val="en-US" w:eastAsia="zh-CN"/>
        </w:rPr>
      </w:pPr>
    </w:p>
    <w:p w14:paraId="6BCB04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27115"/>
    <w:rsid w:val="04927115"/>
    <w:rsid w:val="62371268"/>
    <w:rsid w:val="65BF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2812</Characters>
  <Lines>0</Lines>
  <Paragraphs>0</Paragraphs>
  <TotalTime>0</TotalTime>
  <ScaleCrop>false</ScaleCrop>
  <LinksUpToDate>false</LinksUpToDate>
  <CharactersWithSpaces>3118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小小藝</dc:creator>
  <cp:lastModifiedBy>小小藝</cp:lastModifiedBy>
  <cp:lastPrinted>2025-05-06T09:05:00Z</cp:lastPrinted>
  <dcterms:modified xsi:type="dcterms:W3CDTF">2025-05-06T09:11:38Z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C298D3CFD206475D82E032AE81DDDB7C_11</vt:lpwstr>
  </property>
  <property fmtid="{D5CDD505-2E9C-101B-9397-08002B2CF9AE}" pid="4" name="KSOTemplateDocerSaveRecord">
    <vt:lpwstr>eyJoZGlkIjoiYzZmMDYyNzNhMjZlYjllOGE1NzQ3Y2Y3ODRlNTBiY2EiLCJ1c2VySWQiOiIxMjMyOTgyMzM5In0=</vt:lpwstr>
  </property>
</Properties>
</file>