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2D643">
      <w:pPr>
        <w:keepNext w:val="0"/>
        <w:keepLines w:val="0"/>
        <w:pageBreakBefore w:val="0"/>
        <w:widowControl/>
        <w:kinsoku w:val="0"/>
        <w:wordWrap/>
        <w:overflowPunct/>
        <w:topLinePunct w:val="0"/>
        <w:autoSpaceDE w:val="0"/>
        <w:autoSpaceDN w:val="0"/>
        <w:bidi w:val="0"/>
        <w:adjustRightInd w:val="0"/>
        <w:snapToGrid w:val="0"/>
        <w:spacing w:line="560" w:lineRule="exact"/>
        <w:ind w:leftChars="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99255F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640" w:lineRule="exact"/>
        <w:ind w:leftChars="0"/>
        <w:jc w:val="center"/>
        <w:textAlignment w:val="baseline"/>
        <w:rPr>
          <w:rFonts w:hint="default" w:ascii="Times New Roman" w:hAnsi="Times New Roman" w:eastAsia="方正小标宋_GBK" w:cs="Times New Roman"/>
          <w:snapToGrid w:val="0"/>
          <w:color w:val="000000"/>
          <w:spacing w:val="-5"/>
          <w:kern w:val="0"/>
          <w:position w:val="12"/>
          <w:sz w:val="40"/>
          <w:szCs w:val="40"/>
          <w:lang w:val="en-US" w:eastAsia="zh-CN" w:bidi="ar-SA"/>
        </w:rPr>
      </w:pPr>
    </w:p>
    <w:p w14:paraId="0D14DC3F">
      <w:pPr>
        <w:keepNext w:val="0"/>
        <w:keepLines w:val="0"/>
        <w:pageBreakBefore w:val="0"/>
        <w:widowControl/>
        <w:numPr>
          <w:ilvl w:val="-1"/>
          <w:numId w:val="0"/>
        </w:numPr>
        <w:kinsoku w:val="0"/>
        <w:wordWrap/>
        <w:overflowPunct/>
        <w:topLinePunct w:val="0"/>
        <w:autoSpaceDE w:val="0"/>
        <w:autoSpaceDN w:val="0"/>
        <w:bidi w:val="0"/>
        <w:adjustRightInd w:val="0"/>
        <w:snapToGrid w:val="0"/>
        <w:spacing w:line="640" w:lineRule="exact"/>
        <w:ind w:leftChars="0"/>
        <w:jc w:val="center"/>
        <w:textAlignment w:val="baseline"/>
        <w:rPr>
          <w:rFonts w:hint="default" w:ascii="Times New Roman" w:hAnsi="Times New Roman" w:eastAsia="方正小标宋_GBK" w:cs="Times New Roman"/>
          <w:spacing w:val="-5"/>
          <w:position w:val="12"/>
          <w:sz w:val="40"/>
          <w:szCs w:val="40"/>
          <w:lang w:val="en-US" w:eastAsia="zh-CN"/>
        </w:rPr>
      </w:pPr>
      <w:r>
        <w:rPr>
          <w:rFonts w:hint="default" w:ascii="Times New Roman" w:hAnsi="Times New Roman" w:eastAsia="方正小标宋_GBK" w:cs="Times New Roman"/>
          <w:snapToGrid w:val="0"/>
          <w:color w:val="000000"/>
          <w:spacing w:val="-5"/>
          <w:kern w:val="0"/>
          <w:position w:val="12"/>
          <w:sz w:val="40"/>
          <w:szCs w:val="40"/>
          <w:lang w:val="en-US" w:eastAsia="zh-CN" w:bidi="ar-SA"/>
        </w:rPr>
        <w:t>四川省预防医学会2025-2026年度重点</w:t>
      </w:r>
      <w:r>
        <w:rPr>
          <w:rFonts w:hint="default" w:ascii="Times New Roman" w:hAnsi="Times New Roman" w:eastAsia="方正小标宋_GBK" w:cs="Times New Roman"/>
          <w:spacing w:val="-5"/>
          <w:position w:val="12"/>
          <w:sz w:val="40"/>
          <w:szCs w:val="40"/>
          <w:lang w:val="en-US" w:eastAsia="zh-CN"/>
        </w:rPr>
        <w:t>科研项目申报指南</w:t>
      </w:r>
    </w:p>
    <w:p w14:paraId="4FBF972C">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p>
    <w:p w14:paraId="1D8C01B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四川省预防医学会2025-2026年度重点科研项目，紧紧围绕国家公共卫生需求和我省实际，开展以人工智能在疾病与健康中的应用、新技术的推广应用和医防融合模式为重点方向的研究，旨在通过促进多学科交叉融合，加快新技术、新方法的推广应用，提升公共卫生服务能力，为政府决策提供科学依据，探索解决我省疾病防控、健康管理及医防融合等领域的关键问题。</w:t>
      </w:r>
      <w:r>
        <w:rPr>
          <w:rFonts w:hint="eastAsia" w:ascii="Times New Roman" w:hAnsi="Times New Roman" w:eastAsia="仿宋" w:cs="Times New Roman"/>
          <w:snapToGrid w:val="0"/>
          <w:color w:val="000000"/>
          <w:spacing w:val="-5"/>
          <w:kern w:val="0"/>
          <w:position w:val="12"/>
          <w:sz w:val="32"/>
          <w:szCs w:val="32"/>
          <w:lang w:val="en-US" w:eastAsia="zh-CN" w:bidi="ar-SA"/>
        </w:rPr>
        <w:t>每类项目支持1项，</w:t>
      </w:r>
      <w:r>
        <w:rPr>
          <w:rFonts w:hint="default" w:ascii="Times New Roman" w:hAnsi="Times New Roman" w:eastAsia="仿宋" w:cs="Times New Roman"/>
          <w:snapToGrid w:val="0"/>
          <w:color w:val="000000"/>
          <w:spacing w:val="-5"/>
          <w:kern w:val="0"/>
          <w:position w:val="12"/>
          <w:sz w:val="32"/>
          <w:szCs w:val="32"/>
          <w:lang w:val="en-US" w:eastAsia="zh-CN" w:bidi="ar-SA"/>
        </w:rPr>
        <w:t>执行期为立项日期起24个月。</w:t>
      </w:r>
    </w:p>
    <w:p w14:paraId="0748EF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黑体" w:cs="Times New Roman"/>
          <w:snapToGrid w:val="0"/>
          <w:color w:val="000000"/>
          <w:spacing w:val="-5"/>
          <w:kern w:val="0"/>
          <w:position w:val="12"/>
          <w:sz w:val="32"/>
          <w:szCs w:val="32"/>
          <w:lang w:val="en-US" w:eastAsia="zh-CN" w:bidi="ar-SA"/>
        </w:rPr>
      </w:pPr>
      <w:r>
        <w:rPr>
          <w:rFonts w:hint="default" w:ascii="Times New Roman" w:hAnsi="Times New Roman" w:eastAsia="黑体" w:cs="Times New Roman"/>
          <w:snapToGrid w:val="0"/>
          <w:color w:val="000000"/>
          <w:spacing w:val="-5"/>
          <w:kern w:val="0"/>
          <w:position w:val="12"/>
          <w:sz w:val="32"/>
          <w:szCs w:val="32"/>
          <w:lang w:val="en-US" w:eastAsia="zh-CN" w:bidi="ar-SA"/>
        </w:rPr>
        <w:t>一、基于人工智能技术在重点职业病监测与预警中的应用研究</w:t>
      </w:r>
    </w:p>
    <w:p w14:paraId="7A3A448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 w:cs="Times New Roman"/>
          <w:snapToGrid w:val="0"/>
          <w:color w:val="000000"/>
          <w:spacing w:val="-5"/>
          <w:kern w:val="0"/>
          <w:position w:val="12"/>
          <w:sz w:val="32"/>
          <w:szCs w:val="32"/>
          <w:lang w:val="en-US" w:eastAsia="zh-CN" w:bidi="ar-SA"/>
        </w:rPr>
        <w:t>依托全省百万级真实纵向职业健康数据平台及人工智能技术开展研究，解决传统手段监</w:t>
      </w:r>
      <w:bookmarkStart w:id="0" w:name="_GoBack"/>
      <w:bookmarkEnd w:id="0"/>
      <w:r>
        <w:rPr>
          <w:rFonts w:hint="default" w:ascii="Times New Roman" w:hAnsi="Times New Roman" w:eastAsia="仿宋" w:cs="Times New Roman"/>
          <w:snapToGrid w:val="0"/>
          <w:color w:val="000000"/>
          <w:spacing w:val="-5"/>
          <w:kern w:val="0"/>
          <w:position w:val="12"/>
          <w:sz w:val="32"/>
          <w:szCs w:val="32"/>
          <w:lang w:val="en-US" w:eastAsia="zh-CN" w:bidi="ar-SA"/>
        </w:rPr>
        <w:t>测预警效率低、诊断准度性不足等问题，提升全省职业病防治水平；</w:t>
      </w:r>
    </w:p>
    <w:p w14:paraId="6587217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1.整合全省职业卫生、健康检查等数据并预处理，构建具有自我学习能力的职业病辅助诊断智能体和教学培训智能体。其中辅助诊断智能体可深度学习海量职业病病例的临床症状、影像资料、实验室检查结果等，能自动识别疑似病例特征，辅助判断职业病类型及分期，提高职业病诊断精准度；</w:t>
      </w:r>
    </w:p>
    <w:p w14:paraId="6142DF61">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2.使用人工智能算法结合职业卫生调查数据和职业健康检查数据，建立基于人工智能的职业健康风险评估系统，实现对职业风险人群的早期识别、风险评估和干预建议；</w:t>
      </w:r>
    </w:p>
    <w:p w14:paraId="653C426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3.构建覆盖全省的智能化职业健康防护网络。通过整合数据构建智能体、建立评估系统，形成可复制推广的“AI+职业健康”创新模式，依托省级职业健康检查与诊断机构质量控制平台对研究成果实际应用效果的持续评估，形成“应用&gt;评估&gt;反馈&gt;优化&gt;应用”的可持续发展循环，推动职业健康管理迈向精准化、智能化新高度。</w:t>
      </w:r>
    </w:p>
    <w:p w14:paraId="392AA43F">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 w:cs="Times New Roman"/>
          <w:b/>
          <w:bCs/>
          <w:snapToGrid w:val="0"/>
          <w:color w:val="000000"/>
          <w:spacing w:val="-5"/>
          <w:kern w:val="0"/>
          <w:position w:val="12"/>
          <w:sz w:val="32"/>
          <w:szCs w:val="32"/>
          <w:lang w:val="en-US" w:eastAsia="zh-CN" w:bidi="ar-SA"/>
        </w:rPr>
      </w:pPr>
      <w:r>
        <w:rPr>
          <w:rFonts w:hint="default" w:ascii="Times New Roman" w:hAnsi="Times New Roman" w:eastAsia="仿宋" w:cs="Times New Roman"/>
          <w:b/>
          <w:bCs/>
          <w:snapToGrid w:val="0"/>
          <w:color w:val="000000"/>
          <w:spacing w:val="-5"/>
          <w:kern w:val="0"/>
          <w:position w:val="12"/>
          <w:sz w:val="32"/>
          <w:szCs w:val="32"/>
          <w:lang w:val="en-US" w:eastAsia="zh-CN" w:bidi="ar-SA"/>
        </w:rPr>
        <w:t>预期成效：</w:t>
      </w:r>
    </w:p>
    <w:p w14:paraId="6FFC66B7">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1.基于百万级真实纵向职业健康数据建成具有自我学习能力且精准度高、泛化性强的职业病辅助诊断智能体和教学培训智能体，以及基于人工智能的职业健康风险评估系统，形成一套完整的职业健康智能化管理技术方案；</w:t>
      </w:r>
    </w:p>
    <w:p w14:paraId="7B55617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2.实现试点机构职业病诊断准确率提升5%、职业健康检查疑似职业病判定准确率提升10%；全省职业病诊断医师培训合格率提升15%；试点企业职业风险人群早期识别率提升20%；</w:t>
      </w:r>
    </w:p>
    <w:p w14:paraId="5F79A0BA">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3.在全省职业病诊断医师资格培训中推广运用，在省内7个市（州）的职业病诊断机构、重点企业推广运用，形成可供全国借鉴的“AI+ 职业健康”防治模式；</w:t>
      </w:r>
    </w:p>
    <w:p w14:paraId="0C86DD1D">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4.发表中文核心/SCI/SSCI论文2篇，获得软件著作权1项。</w:t>
      </w:r>
    </w:p>
    <w:p w14:paraId="586B4664">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 w:cs="Times New Roman"/>
          <w:b/>
          <w:bCs/>
          <w:snapToGrid w:val="0"/>
          <w:color w:val="000000"/>
          <w:spacing w:val="-5"/>
          <w:kern w:val="0"/>
          <w:position w:val="12"/>
          <w:sz w:val="32"/>
          <w:szCs w:val="32"/>
          <w:lang w:val="en-US" w:eastAsia="zh-CN" w:bidi="ar-SA"/>
        </w:rPr>
      </w:pPr>
      <w:r>
        <w:rPr>
          <w:rFonts w:hint="default" w:ascii="Times New Roman" w:hAnsi="Times New Roman" w:eastAsia="仿宋" w:cs="Times New Roman"/>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8万元。</w:t>
      </w:r>
    </w:p>
    <w:p w14:paraId="6896D3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黑体" w:cs="Times New Roman"/>
          <w:snapToGrid w:val="0"/>
          <w:color w:val="000000"/>
          <w:spacing w:val="-5"/>
          <w:kern w:val="0"/>
          <w:position w:val="12"/>
          <w:sz w:val="32"/>
          <w:szCs w:val="32"/>
          <w:lang w:val="en-US" w:eastAsia="zh-CN" w:bidi="ar-SA"/>
        </w:rPr>
      </w:pPr>
      <w:r>
        <w:rPr>
          <w:rFonts w:hint="default" w:ascii="Times New Roman" w:hAnsi="Times New Roman" w:eastAsia="黑体" w:cs="Times New Roman"/>
          <w:snapToGrid w:val="0"/>
          <w:color w:val="000000"/>
          <w:spacing w:val="-5"/>
          <w:kern w:val="0"/>
          <w:position w:val="12"/>
          <w:sz w:val="32"/>
          <w:szCs w:val="32"/>
          <w:lang w:val="en-US" w:eastAsia="zh-CN" w:bidi="ar-SA"/>
        </w:rPr>
        <w:t>二、心脑健康生物年龄评估及心肾代谢综合征运动处方干预模式研究</w:t>
      </w:r>
    </w:p>
    <w:p w14:paraId="0F627E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snapToGrid w:val="0"/>
          <w:color w:val="000000"/>
          <w:spacing w:val="-5"/>
          <w:kern w:val="0"/>
          <w:position w:val="12"/>
          <w:sz w:val="32"/>
          <w:szCs w:val="32"/>
          <w:lang w:val="en-US" w:eastAsia="zh-CN" w:bidi="ar-SA"/>
        </w:rPr>
        <w:t>老龄化背景下心肾代谢综合征（CKM）带来的心脑血管事件(CVD)和认知功能衰退（MCI）早发是威胁我国和我省社区人群健康的重大公共卫生问题。针对这一问题开展以下研究：</w:t>
      </w:r>
    </w:p>
    <w:p w14:paraId="621D8B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snapToGrid w:val="0"/>
          <w:color w:val="000000"/>
          <w:spacing w:val="-5"/>
          <w:kern w:val="0"/>
          <w:position w:val="12"/>
          <w:sz w:val="32"/>
          <w:szCs w:val="32"/>
          <w:lang w:val="en-US" w:eastAsia="zh-CN" w:bidi="ar-SA"/>
        </w:rPr>
      </w:pPr>
      <w:r>
        <w:rPr>
          <w:rFonts w:hint="default" w:ascii="Times New Roman" w:hAnsi="Times New Roman" w:eastAsia="仿宋_GB2312" w:cs="Times New Roman"/>
          <w:snapToGrid w:val="0"/>
          <w:color w:val="000000"/>
          <w:spacing w:val="-5"/>
          <w:kern w:val="0"/>
          <w:position w:val="12"/>
          <w:sz w:val="32"/>
          <w:szCs w:val="32"/>
          <w:lang w:val="en-US" w:eastAsia="zh-CN" w:bidi="ar-SA"/>
        </w:rPr>
        <w:t>1.依托大样本社区人群队列，融合生物标志物影像组多模态特征，构建基于机器学习的心脑血管健康生物年龄算法及个体风险分级评估体系；</w:t>
      </w:r>
    </w:p>
    <w:p w14:paraId="5580C8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snapToGrid w:val="0"/>
          <w:color w:val="000000"/>
          <w:spacing w:val="-5"/>
          <w:kern w:val="0"/>
          <w:position w:val="12"/>
          <w:sz w:val="32"/>
          <w:szCs w:val="32"/>
          <w:lang w:val="en-US" w:eastAsia="zh-CN" w:bidi="ar-SA"/>
        </w:rPr>
      </w:pPr>
      <w:r>
        <w:rPr>
          <w:rFonts w:hint="default" w:ascii="Times New Roman" w:hAnsi="Times New Roman" w:eastAsia="仿宋_GB2312" w:cs="Times New Roman"/>
          <w:snapToGrid w:val="0"/>
          <w:color w:val="000000"/>
          <w:spacing w:val="-5"/>
          <w:kern w:val="0"/>
          <w:position w:val="12"/>
          <w:sz w:val="32"/>
          <w:szCs w:val="32"/>
          <w:lang w:val="en-US" w:eastAsia="zh-CN" w:bidi="ar-SA"/>
        </w:rPr>
        <w:t>2.研发社区CKM人群运动处方临床路径，开发涵盖“生物年龄测评-运动处方指导-成效反馈”的AI辅助智能平台;</w:t>
      </w:r>
    </w:p>
    <w:p w14:paraId="6B5F10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snapToGrid w:val="0"/>
          <w:color w:val="000000"/>
          <w:spacing w:val="-5"/>
          <w:kern w:val="0"/>
          <w:position w:val="12"/>
          <w:sz w:val="32"/>
          <w:szCs w:val="32"/>
          <w:lang w:val="en-US" w:eastAsia="zh-CN" w:bidi="ar-SA"/>
        </w:rPr>
      </w:pPr>
      <w:r>
        <w:rPr>
          <w:rFonts w:hint="default" w:ascii="Times New Roman" w:hAnsi="Times New Roman" w:eastAsia="仿宋_GB2312" w:cs="Times New Roman"/>
          <w:snapToGrid w:val="0"/>
          <w:color w:val="000000"/>
          <w:spacing w:val="-5"/>
          <w:kern w:val="0"/>
          <w:position w:val="12"/>
          <w:sz w:val="32"/>
          <w:szCs w:val="32"/>
          <w:lang w:val="en-US" w:eastAsia="zh-CN" w:bidi="ar-SA"/>
        </w:rPr>
        <w:t>3.通过不少于4个社区的多阶段楔形整群实验研究和混合研究方法评估干预成效，形成推广应用方案，助力“健康四川”行动在社区层面落地，为区域慢病管理提供可复制、可持续的创新范式。</w:t>
      </w:r>
    </w:p>
    <w:p w14:paraId="680931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40638C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1.开发心血管健康和脑健康至少2个多模态生物年龄算法工具，精准反映个体心脑健康水平;</w:t>
      </w:r>
    </w:p>
    <w:p w14:paraId="119813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2.研发一套社区CKM综合征早期患者个性化运动处方临床路径及智能引导系统；</w:t>
      </w:r>
    </w:p>
    <w:p w14:paraId="255A8F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3.根据建立的“评估-干预-随访”闭环式慢病管理模式，撰写一套推广应用工作模式；</w:t>
      </w:r>
    </w:p>
    <w:p w14:paraId="05246B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4.发表高水平论文 3-4 篇，形成软件著作1项，不少于1000例干预。</w:t>
      </w:r>
    </w:p>
    <w:p w14:paraId="375D48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 w:cs="Times New Roman"/>
          <w:b/>
          <w:bCs/>
          <w:snapToGrid w:val="0"/>
          <w:color w:val="000000"/>
          <w:spacing w:val="-5"/>
          <w:kern w:val="0"/>
          <w:position w:val="12"/>
          <w:sz w:val="32"/>
          <w:szCs w:val="32"/>
          <w:lang w:val="en-US" w:eastAsia="zh-CN" w:bidi="ar-SA"/>
        </w:rPr>
      </w:pPr>
      <w:r>
        <w:rPr>
          <w:rFonts w:hint="default" w:ascii="Times New Roman" w:hAnsi="Times New Roman" w:eastAsia="仿宋" w:cs="Times New Roman"/>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6万元。</w:t>
      </w:r>
    </w:p>
    <w:p w14:paraId="780A48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default" w:ascii="Times New Roman" w:hAnsi="Times New Roman" w:eastAsia="黑体" w:cs="Times New Roman"/>
          <w:snapToGrid w:val="0"/>
          <w:color w:val="000000"/>
          <w:spacing w:val="-5"/>
          <w:kern w:val="0"/>
          <w:position w:val="12"/>
          <w:sz w:val="32"/>
          <w:szCs w:val="32"/>
          <w:lang w:val="en-US" w:eastAsia="zh-CN" w:bidi="ar-SA"/>
        </w:rPr>
      </w:pPr>
      <w:r>
        <w:rPr>
          <w:rFonts w:hint="default" w:ascii="Times New Roman" w:hAnsi="Times New Roman" w:eastAsia="黑体" w:cs="Times New Roman"/>
          <w:snapToGrid w:val="0"/>
          <w:color w:val="000000"/>
          <w:spacing w:val="-5"/>
          <w:kern w:val="0"/>
          <w:position w:val="12"/>
          <w:sz w:val="32"/>
          <w:szCs w:val="32"/>
          <w:lang w:val="en-US" w:eastAsia="zh-CN" w:bidi="ar-SA"/>
        </w:rPr>
        <w:t>三、人工智能图像识别在儿童龋齿防治中的应用研究</w:t>
      </w:r>
    </w:p>
    <w:p w14:paraId="2B5DE0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针对窝沟封闭项目实施中识别和监测人工智能应用不足等问题开展：</w:t>
      </w:r>
    </w:p>
    <w:p w14:paraId="335618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1.利用AI技术建立数学模型将牙齿窝沟二维图像与三维图像关联，通过训练与验证，实现通过二维图像，判断窝沟深度、龋坏状况并预测其患龋风险；</w:t>
      </w:r>
    </w:p>
    <w:p w14:paraId="44FA90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2.开发影像识别软件，在儿童口腔疾病综合干预项目基础上，建立针对不同层级医生的技术指导模型，减少主观偏倚、现场培训和督导工作量，力争实现医疗资源的高效配置；</w:t>
      </w:r>
    </w:p>
    <w:p w14:paraId="6CE591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3.初步建立图像数据库及共享平台，实现儿童口腔疾病综合干预项目远程监管，提高卫生经济效益，实现“精准识别、同质化管理”。</w:t>
      </w:r>
    </w:p>
    <w:p w14:paraId="377EF5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6E3C94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1.成功开发AI图像识别系统1套，实现窝沟可疑龋坏部位及需重点防控点位标记；</w:t>
      </w:r>
    </w:p>
    <w:p w14:paraId="208FE1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2.成功建立省级窝沟封闭图像数据库及共享平台1套，覆盖1000例以上；</w:t>
      </w:r>
    </w:p>
    <w:p w14:paraId="2FAA9D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3.在国内外核心期刊发表论文1-2篇，申请专利1项，获得软件著作1项。</w:t>
      </w:r>
    </w:p>
    <w:p w14:paraId="121B9B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eastAsia" w:ascii="仿宋_GB2312" w:hAnsi="仿宋_GB2312" w:eastAsia="仿宋_GB2312" w:cs="仿宋_GB2312"/>
          <w:b/>
          <w:bCs/>
          <w:snapToGrid w:val="0"/>
          <w:color w:val="000000"/>
          <w:spacing w:val="-5"/>
          <w:kern w:val="0"/>
          <w:position w:val="12"/>
          <w:sz w:val="32"/>
          <w:szCs w:val="32"/>
          <w:lang w:val="en-US" w:eastAsia="zh-CN" w:bidi="ar-SA"/>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6万元。</w:t>
      </w:r>
    </w:p>
    <w:p w14:paraId="3F4146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黑体" w:cs="Times New Roman"/>
          <w:b/>
          <w:bCs/>
          <w:snapToGrid w:val="0"/>
          <w:color w:val="000000"/>
          <w:spacing w:val="-5"/>
          <w:kern w:val="0"/>
          <w:position w:val="12"/>
          <w:sz w:val="32"/>
          <w:szCs w:val="32"/>
          <w:lang w:val="en-US" w:eastAsia="zh-CN" w:bidi="ar-SA"/>
        </w:rPr>
      </w:pPr>
      <w:r>
        <w:rPr>
          <w:rFonts w:hint="default" w:ascii="Times New Roman" w:hAnsi="Times New Roman" w:eastAsia="黑体" w:cs="Times New Roman"/>
          <w:b/>
          <w:bCs/>
          <w:snapToGrid w:val="0"/>
          <w:color w:val="000000"/>
          <w:spacing w:val="-5"/>
          <w:kern w:val="0"/>
          <w:position w:val="12"/>
          <w:sz w:val="32"/>
          <w:szCs w:val="32"/>
          <w:lang w:val="en-US" w:eastAsia="zh-CN" w:bidi="ar-SA"/>
        </w:rPr>
        <w:t>四、四川省空气质量健康指数(AQHI)模型构建和预警关键技术的应用研究</w:t>
      </w:r>
    </w:p>
    <w:p w14:paraId="22CB6EE1">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根据我省地理、污染物特点，利用气候、健康大数据等实际情况开展科学研究：</w:t>
      </w:r>
    </w:p>
    <w:p w14:paraId="7F45C44A">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1.从空气污染物与不同健康结局之间暴露-反应关系，多维度构建我省AQHI模型；</w:t>
      </w:r>
    </w:p>
    <w:p w14:paraId="791F6D6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2.研究AQHI、AQI对不同健康结局的预测能力，筛选出一种能预测能力较强的AQHI模型；</w:t>
      </w:r>
    </w:p>
    <w:p w14:paraId="1256A9B5">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3.利用筛选出的AQHI模型，开发我省预警信息平台，实时为大众发布AQHI等级和健康防护提示信息。</w:t>
      </w:r>
    </w:p>
    <w:p w14:paraId="08904CA1">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0C60393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1.构建出能科学、灵敏地反应我省空气污染物对人群健康危害的AQHI预警模型；</w:t>
      </w:r>
    </w:p>
    <w:p w14:paraId="4B2D863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2.开发四川省预警信息平台，为信息发布提供基础；</w:t>
      </w:r>
    </w:p>
    <w:p w14:paraId="54F70A4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3.产出1篇学术论文或1部软件著作权。</w:t>
      </w:r>
    </w:p>
    <w:p w14:paraId="2EFFB66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仿宋_GB2312" w:hAnsi="仿宋_GB2312" w:eastAsia="仿宋_GB2312" w:cs="仿宋_GB2312"/>
          <w:lang w:val="en-US"/>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5万元。</w:t>
      </w:r>
    </w:p>
    <w:p w14:paraId="49E940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23" w:firstLineChars="200"/>
        <w:textAlignment w:val="baseline"/>
        <w:rPr>
          <w:rFonts w:hint="default" w:ascii="Times New Roman" w:hAnsi="Times New Roman" w:eastAsia="黑体" w:cs="Times New Roman"/>
          <w:b/>
          <w:bCs/>
          <w:snapToGrid w:val="0"/>
          <w:color w:val="000000"/>
          <w:spacing w:val="-5"/>
          <w:kern w:val="0"/>
          <w:position w:val="12"/>
          <w:sz w:val="32"/>
          <w:szCs w:val="32"/>
          <w:lang w:val="en-US" w:eastAsia="zh-CN" w:bidi="ar-SA"/>
        </w:rPr>
      </w:pPr>
      <w:r>
        <w:rPr>
          <w:rFonts w:hint="default" w:ascii="Times New Roman" w:hAnsi="Times New Roman" w:eastAsia="黑体" w:cs="Times New Roman"/>
          <w:b/>
          <w:bCs/>
          <w:snapToGrid w:val="0"/>
          <w:color w:val="000000"/>
          <w:spacing w:val="-5"/>
          <w:kern w:val="0"/>
          <w:position w:val="12"/>
          <w:sz w:val="32"/>
          <w:szCs w:val="32"/>
          <w:lang w:val="en-US" w:eastAsia="zh-CN" w:bidi="ar-SA"/>
        </w:rPr>
        <w:t>五、妊娠分娩对女性盆底损伤的全周期量化追踪与预防策略研究</w:t>
      </w:r>
    </w:p>
    <w:p w14:paraId="31A514E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针对妊娠分娩全过程对女性盆底损伤具体环节、防控要点和精准管理体系的缺失，开展如下研究：</w:t>
      </w:r>
    </w:p>
    <w:p w14:paraId="596E651D">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建立育龄期女性从孕前、孕期到产后的全周期盆底纵向大数据随访队列，采集孕妇个体信息、生化指标、盆底肌力肌电、盆底超声形态学等多模态数据，精准量化与妊娠分娩相关的盆底损伤因素并建立个体盆底健康态的时空数据阵列模型，形成妊娠对于盆底损伤的理论体系；</w:t>
      </w:r>
    </w:p>
    <w:p w14:paraId="6AEBEF5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2.在此基础上整合营养、运动和康复方案，构建人工智能的盆底疾病早期分层优化管理新模式和技术体系，实现盆底疾病优化的一级预防策略。</w:t>
      </w:r>
    </w:p>
    <w:p w14:paraId="79AC7FFB">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3A988830">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1.建立不少于10000名育龄期女性的随访队列，完成≥85%的纵向随访率。构建孕前、孕期和产后女性全周期的盆底多模态数据库；</w:t>
      </w:r>
    </w:p>
    <w:p w14:paraId="6569BAAD">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2.定义并量化≥3种核心形态学损伤指标和肌力肌电指标。构建1个个体盆底健康态的时空数据阵列模型；</w:t>
      </w:r>
    </w:p>
    <w:p w14:paraId="47B002AE">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3.制定人工智能的盆底疾病早期分层优化管理新模式和技术体系；</w:t>
      </w:r>
    </w:p>
    <w:p w14:paraId="18AC6CC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4.发表高水平SCI论文≥2篇，形成《妊娠分娩全周期盆底健康管理及损伤预防专家共识/临床路径》建议稿。</w:t>
      </w:r>
    </w:p>
    <w:p w14:paraId="35D7746A">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eastAsia" w:ascii="仿宋_GB2312" w:hAnsi="仿宋_GB2312" w:eastAsia="仿宋_GB2312" w:cs="仿宋_GB2312"/>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5万元。</w:t>
      </w:r>
    </w:p>
    <w:p w14:paraId="69CBDF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黑体" w:cs="Times New Roman"/>
          <w:b/>
          <w:bCs/>
          <w:snapToGrid w:val="0"/>
          <w:color w:val="000000"/>
          <w:spacing w:val="-5"/>
          <w:kern w:val="0"/>
          <w:position w:val="12"/>
          <w:sz w:val="32"/>
          <w:szCs w:val="32"/>
          <w:lang w:val="en-US" w:eastAsia="zh-CN" w:bidi="ar-SA"/>
        </w:rPr>
      </w:pPr>
      <w:r>
        <w:rPr>
          <w:rFonts w:hint="default" w:ascii="Times New Roman" w:hAnsi="Times New Roman" w:eastAsia="黑体" w:cs="Times New Roman"/>
          <w:b/>
          <w:bCs/>
          <w:snapToGrid w:val="0"/>
          <w:color w:val="000000"/>
          <w:spacing w:val="-5"/>
          <w:kern w:val="0"/>
          <w:position w:val="12"/>
          <w:sz w:val="32"/>
          <w:szCs w:val="32"/>
          <w:lang w:val="en-US" w:eastAsia="zh-CN" w:bidi="ar-SA"/>
        </w:rPr>
        <w:t>六、县域医共体医防融合模式效果评估指标体系研究</w:t>
      </w:r>
    </w:p>
    <w:p w14:paraId="556C153A">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针对我国和我省县域医共体建设中医防融合目标不明确、内容不具体、方式不紧密、效果待提高等问题，按照《医疗卫生强基工程实施方案》,开展县域医共体医防融合模式效果评估指标体系研究；</w:t>
      </w:r>
    </w:p>
    <w:p w14:paraId="36D762E3">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1.量化分析我省县域医共体医防融合效果的重要影响因素和干预靶点，构建科学的、数据可获得且可持续监测的医防融合效果评估指标体系；</w:t>
      </w:r>
    </w:p>
    <w:p w14:paraId="5DF3F247">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2.指标设计适应区域特征和人群健康需要的分层优化路径，关注平原城市群和山区民族地区的差异，释放数智技术赋能基层的潜力。</w:t>
      </w:r>
    </w:p>
    <w:p w14:paraId="1DD8BB0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47CE87C7">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1.产出《四川省县域医共体医防融合模式效果评估方案》及指标体系；</w:t>
      </w:r>
    </w:p>
    <w:p w14:paraId="2892B262">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2.推动3项优化路径纳入省级医共体考核指标，发表SCI/</w:t>
      </w:r>
    </w:p>
    <w:p w14:paraId="38D06F4D">
      <w:pPr>
        <w:keepNext w:val="0"/>
        <w:keepLines w:val="0"/>
        <w:pageBreakBefore w:val="0"/>
        <w:widowControl/>
        <w:kinsoku w:val="0"/>
        <w:wordWrap/>
        <w:overflowPunct/>
        <w:topLinePunct w:val="0"/>
        <w:autoSpaceDE w:val="0"/>
        <w:autoSpaceDN w:val="0"/>
        <w:bidi w:val="0"/>
        <w:adjustRightInd w:val="0"/>
        <w:snapToGrid w:val="0"/>
        <w:spacing w:line="560" w:lineRule="exact"/>
        <w:ind w:leftChars="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SSCI论文2篇，申请专利1项；</w:t>
      </w:r>
    </w:p>
    <w:p w14:paraId="605D636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3.指标体系在3个县域医共体应用。</w:t>
      </w:r>
    </w:p>
    <w:p w14:paraId="66091BC3">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 w:cs="Times New Roman"/>
          <w:b/>
          <w:bCs/>
          <w:snapToGrid w:val="0"/>
          <w:color w:val="000000"/>
          <w:spacing w:val="-5"/>
          <w:kern w:val="0"/>
          <w:position w:val="12"/>
          <w:sz w:val="32"/>
          <w:szCs w:val="32"/>
          <w:lang w:val="en-US" w:eastAsia="zh-CN" w:bidi="ar-SA"/>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5万元。</w:t>
      </w:r>
    </w:p>
    <w:p w14:paraId="098A32BE">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黑体" w:cs="Times New Roman"/>
          <w:b w:val="0"/>
          <w:bCs w:val="0"/>
          <w:snapToGrid w:val="0"/>
          <w:color w:val="000000"/>
          <w:spacing w:val="-5"/>
          <w:kern w:val="0"/>
          <w:position w:val="12"/>
          <w:sz w:val="32"/>
          <w:szCs w:val="32"/>
          <w:lang w:val="en-US" w:eastAsia="zh-CN" w:bidi="ar-SA"/>
        </w:rPr>
      </w:pPr>
      <w:r>
        <w:rPr>
          <w:rFonts w:hint="default" w:ascii="Times New Roman" w:hAnsi="Times New Roman" w:eastAsia="黑体" w:cs="Times New Roman"/>
          <w:b w:val="0"/>
          <w:bCs w:val="0"/>
          <w:snapToGrid w:val="0"/>
          <w:color w:val="000000"/>
          <w:spacing w:val="-5"/>
          <w:kern w:val="0"/>
          <w:position w:val="12"/>
          <w:sz w:val="32"/>
          <w:szCs w:val="32"/>
          <w:lang w:val="en-US" w:eastAsia="zh-CN" w:bidi="ar-SA"/>
        </w:rPr>
        <w:t>七、医防协同与融合基层能力建设模式研究</w:t>
      </w:r>
    </w:p>
    <w:p w14:paraId="4C56BEB0">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针对健康中国战略下，具有防治结合技能特点的基层医疗卫生机构人才是一项紧迫的任务。项目将从以下几个方面开展研究：</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5万元。</w:t>
      </w:r>
    </w:p>
    <w:p w14:paraId="7A9A4B65">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1.研究公共卫生院校和政府、医院、基层医疗卫生机构协同联动服务基层社区卫生服务中心及乡镇卫生院人员能力新路径；</w:t>
      </w:r>
    </w:p>
    <w:p w14:paraId="2A67BB5C">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2.探索依托基层医疗卫生机构人员的在职教育新平台；</w:t>
      </w:r>
    </w:p>
    <w:p w14:paraId="462A5760">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3.构建赋能基层公共卫生建设的新模式。</w:t>
      </w:r>
    </w:p>
    <w:p w14:paraId="103DAFB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4BE72E5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1.以“医防协同”为方向，创新赋能基层医疗机构能力的教育教学内容；</w:t>
      </w:r>
    </w:p>
    <w:p w14:paraId="70A2A461">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 以“政府、高校、医院、社区四位一体”为基石，研究高校和医院联合“线下专题培训、线上交流分享”服务基层医疗机构人员的教学路径；</w:t>
      </w:r>
    </w:p>
    <w:p w14:paraId="314D69E5">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3.以“家庭医生诊疗手册”为核心，高校和医院联合撰写提升基层医疗机构诊疗能力的教学教材；</w:t>
      </w:r>
    </w:p>
    <w:p w14:paraId="38C9F840">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4.以“基层医疗卫生的常见病例”为轴心，高校和医院联合开发指导基层医疗机构的教学教材；</w:t>
      </w:r>
    </w:p>
    <w:p w14:paraId="2AF2D7A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5.以“防治结合特点的师资队伍”为基点，高校和医院联合培养具有防治结合能力的双师型青年教师及医师。</w:t>
      </w:r>
    </w:p>
    <w:p w14:paraId="4DE1F9E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eastAsia" w:ascii="仿宋_GB2312" w:hAnsi="仿宋_GB2312" w:eastAsia="仿宋_GB2312" w:cs="仿宋_GB2312"/>
          <w:b/>
          <w:bCs/>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5万元。</w:t>
      </w:r>
    </w:p>
    <w:p w14:paraId="2B04B9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黑体" w:cs="Times New Roman"/>
          <w:b/>
          <w:bCs/>
          <w:snapToGrid w:val="0"/>
          <w:color w:val="000000"/>
          <w:spacing w:val="-5"/>
          <w:kern w:val="0"/>
          <w:position w:val="12"/>
          <w:sz w:val="32"/>
          <w:szCs w:val="32"/>
          <w:lang w:val="en-US" w:eastAsia="zh-CN" w:bidi="ar-SA"/>
        </w:rPr>
      </w:pPr>
      <w:r>
        <w:rPr>
          <w:rFonts w:hint="default" w:ascii="Times New Roman" w:hAnsi="Times New Roman" w:eastAsia="黑体" w:cs="Times New Roman"/>
          <w:b/>
          <w:bCs/>
          <w:snapToGrid w:val="0"/>
          <w:color w:val="000000"/>
          <w:spacing w:val="-5"/>
          <w:kern w:val="0"/>
          <w:position w:val="12"/>
          <w:sz w:val="32"/>
          <w:szCs w:val="32"/>
          <w:lang w:val="en-US" w:eastAsia="zh-CN" w:bidi="ar-SA"/>
        </w:rPr>
        <w:t>八、医防融合视域下基层疾控机构创新能力评价体系与激励机制研究</w:t>
      </w:r>
    </w:p>
    <w:p w14:paraId="0D7B00B2">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针对县级疾控机构创新意愿低、能力弱、机制缺乏等问题，开展以下研究：</w:t>
      </w:r>
    </w:p>
    <w:p w14:paraId="4FD88992">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1.现状与问题量化分析:通过问卷和访谈相结合的方式，系统调研四川省内不少于10家县级疾控中心及医防融合试点单位,识别、分析制约创新能力的关键瓶颈因素；</w:t>
      </w:r>
    </w:p>
    <w:p w14:paraId="3E67B4B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2.评价体系构建与试用：基于文献回顾、政策分析、德尔菲法进行现状分析，构建创新能力综合评价体系，并选择具有代表性的县级疾控中心或紧密型医共体单位试点应用；</w:t>
      </w:r>
    </w:p>
    <w:p w14:paraId="31149FFA">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3.评价体系优化：根据试点应用结果，邀请公共卫生、科研管理、医防融合等专家，运用统计学方法对评价指标进行优化；</w:t>
      </w:r>
    </w:p>
    <w:p w14:paraId="37D693B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4.激励机制模型设计：在评价体系开发的基础上，设计可操作的激励机制模型，明确各类激励措施的实施路径、资源配置要求及预期效果评估指标等。</w:t>
      </w:r>
    </w:p>
    <w:p w14:paraId="7321B19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1788CA70">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1.《四川省基层疾控机构创新能力分析报告》1份；</w:t>
      </w:r>
    </w:p>
    <w:p w14:paraId="56B3BCAD">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2.形成具有量化指标、权重和评分标准的《基层疾控机构科研能力综合评价指标体系》1套；</w:t>
      </w:r>
    </w:p>
    <w:p w14:paraId="19F1523F">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3.可操作创新激励机制模型1个；</w:t>
      </w:r>
    </w:p>
    <w:p w14:paraId="53D2E4D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4.提交《关于提升基层疾控机构创新能力的政策建议报告》1份；</w:t>
      </w:r>
    </w:p>
    <w:p w14:paraId="37648809">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5.示点应用不少于4家基层疾控机构；</w:t>
      </w:r>
    </w:p>
    <w:p w14:paraId="251E492E">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6.发表论文1篇。</w:t>
      </w:r>
    </w:p>
    <w:p w14:paraId="08449DF4">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仿宋_GB2312" w:hAnsi="仿宋_GB2312" w:eastAsia="仿宋_GB2312" w:cs="仿宋_GB2312"/>
          <w:lang w:val="en-US"/>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4万元。</w:t>
      </w:r>
    </w:p>
    <w:p w14:paraId="009546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23" w:firstLineChars="200"/>
        <w:textAlignment w:val="baseline"/>
        <w:rPr>
          <w:rFonts w:hint="default" w:ascii="Times New Roman" w:hAnsi="Times New Roman" w:eastAsia="黑体" w:cs="Times New Roman"/>
          <w:b/>
          <w:bCs/>
          <w:snapToGrid w:val="0"/>
          <w:color w:val="000000"/>
          <w:spacing w:val="-5"/>
          <w:kern w:val="0"/>
          <w:position w:val="12"/>
          <w:sz w:val="32"/>
          <w:szCs w:val="32"/>
          <w:lang w:val="en-US" w:eastAsia="zh-CN" w:bidi="ar-SA"/>
        </w:rPr>
      </w:pPr>
      <w:r>
        <w:rPr>
          <w:rFonts w:hint="default" w:ascii="Times New Roman" w:hAnsi="Times New Roman" w:eastAsia="黑体" w:cs="Times New Roman"/>
          <w:b/>
          <w:bCs/>
          <w:snapToGrid w:val="0"/>
          <w:color w:val="000000"/>
          <w:spacing w:val="-5"/>
          <w:kern w:val="0"/>
          <w:position w:val="12"/>
          <w:sz w:val="32"/>
          <w:szCs w:val="32"/>
          <w:lang w:val="en-US" w:eastAsia="zh-CN" w:bidi="ar-SA"/>
        </w:rPr>
        <w:t>九、四川高原地区心血管疾病数智化医防融合控制模式的研究</w:t>
      </w:r>
    </w:p>
    <w:p w14:paraId="1CD84567">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研究内容：</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针对我省高原地区心血管疾病发病率高、目标人群分散、机构和人员防治能力弱的问题开展研究：</w:t>
      </w:r>
    </w:p>
    <w:p w14:paraId="76070F0C">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1.智慧化高原地区心血管病风险“筛-防-管-研”一体化技术体系构建：（1）建立健全“院地”智慧化慢病管理平台；（2）建立健全无纸化巡回体检体系；（3）建立健全高原地区智慧化村卫生室和健康哨点。</w:t>
      </w:r>
    </w:p>
    <w:p w14:paraId="5032B7FF">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 xml:space="preserve">2.基于数据互认与绩效关联的公卫服务协同机制构建:（1）部署“县乡村”心血管疾病三级防控智慧化信息集成平台，实现专病全生命周期管理；（2）探索政策协同、绩效关联的高原地区基层医疗卫生机构“心血管专病家庭医生签约服务模式”。                                            </w:t>
      </w:r>
    </w:p>
    <w:p w14:paraId="640F53DE">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b w:val="0"/>
          <w:bCs w:val="0"/>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3.医共体心血管疾病连续性服务模式构建与路径优化：（1）依托智能信息平台，构建“医院-家医-家庭”全链条心血管病疾管理综合绩效评价体系</w:t>
      </w:r>
      <w:r>
        <w:rPr>
          <w:rFonts w:hint="eastAsia" w:ascii="Times New Roman" w:hAnsi="Times New Roman" w:eastAsia="仿宋_GB2312" w:cs="Times New Roman"/>
          <w:b w:val="0"/>
          <w:bCs w:val="0"/>
          <w:snapToGrid w:val="0"/>
          <w:color w:val="000000"/>
          <w:spacing w:val="-5"/>
          <w:kern w:val="0"/>
          <w:position w:val="12"/>
          <w:sz w:val="32"/>
          <w:szCs w:val="32"/>
          <w:lang w:val="en-US" w:eastAsia="zh-CN" w:bidi="ar-SA"/>
        </w:rPr>
        <w:t>；</w:t>
      </w: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（2）开展提升心血管专病管理路径达标率的实证研究。</w:t>
      </w:r>
    </w:p>
    <w:p w14:paraId="0600FAE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default" w:ascii="Times New Roman" w:hAnsi="Times New Roman" w:eastAsia="仿宋_GB2312" w:cs="Times New Roman"/>
          <w:b/>
          <w:bCs/>
          <w:snapToGrid w:val="0"/>
          <w:color w:val="000000"/>
          <w:spacing w:val="-5"/>
          <w:kern w:val="0"/>
          <w:position w:val="12"/>
          <w:sz w:val="32"/>
          <w:szCs w:val="32"/>
          <w:lang w:val="en-US" w:eastAsia="zh-CN" w:bidi="ar-SA"/>
        </w:rPr>
      </w:pPr>
      <w:r>
        <w:rPr>
          <w:rFonts w:hint="default" w:ascii="Times New Roman" w:hAnsi="Times New Roman" w:eastAsia="仿宋_GB2312" w:cs="Times New Roman"/>
          <w:b/>
          <w:bCs/>
          <w:snapToGrid w:val="0"/>
          <w:color w:val="000000"/>
          <w:spacing w:val="-5"/>
          <w:kern w:val="0"/>
          <w:position w:val="12"/>
          <w:sz w:val="32"/>
          <w:szCs w:val="32"/>
          <w:lang w:val="en-US" w:eastAsia="zh-CN" w:bidi="ar-SA"/>
        </w:rPr>
        <w:t>预期成效：</w:t>
      </w:r>
    </w:p>
    <w:p w14:paraId="51E11D2A">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1.实现与3-5家三甲医院的心血管专病数据互联互通；</w:t>
      </w:r>
    </w:p>
    <w:p w14:paraId="06B0851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2.完成1.5万以上常驻人口的心血管疾病流调和初筛；</w:t>
      </w:r>
    </w:p>
    <w:p w14:paraId="72CDE20F">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3.形成《高原地区医共体医防融合绩效改革建议 》报告1个；</w:t>
      </w:r>
    </w:p>
    <w:p w14:paraId="1E19FFFB">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4.构建适用于高原地区医共体的心血管连续性服务模式1个；</w:t>
      </w:r>
    </w:p>
    <w:p w14:paraId="781F3456">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5.实现家医服务拓展包中心血管管理核心内容达标率超过70%；</w:t>
      </w:r>
    </w:p>
    <w:p w14:paraId="38F08C6C">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6.实现心血管专病各路径达标率至少提升30%-50%；</w:t>
      </w:r>
    </w:p>
    <w:p w14:paraId="7F81A471">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7.申请软著或专利1项；</w:t>
      </w:r>
    </w:p>
    <w:p w14:paraId="346A9548">
      <w:pPr>
        <w:keepNext w:val="0"/>
        <w:keepLines w:val="0"/>
        <w:pageBreakBefore w:val="0"/>
        <w:widowControl/>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cs="Times New Roman"/>
        </w:rPr>
      </w:pPr>
      <w:r>
        <w:rPr>
          <w:rFonts w:hint="default" w:ascii="Times New Roman" w:hAnsi="Times New Roman" w:eastAsia="仿宋_GB2312" w:cs="Times New Roman"/>
          <w:b w:val="0"/>
          <w:bCs w:val="0"/>
          <w:snapToGrid w:val="0"/>
          <w:color w:val="000000"/>
          <w:spacing w:val="-5"/>
          <w:kern w:val="0"/>
          <w:position w:val="12"/>
          <w:sz w:val="32"/>
          <w:szCs w:val="32"/>
          <w:lang w:val="en-US" w:eastAsia="zh-CN" w:bidi="ar-SA"/>
        </w:rPr>
        <w:t>8.发表高质量学术论文2篇。</w:t>
      </w:r>
    </w:p>
    <w:p w14:paraId="22448F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23" w:firstLineChars="200"/>
        <w:textAlignment w:val="baseline"/>
        <w:rPr>
          <w:rFonts w:hint="eastAsia" w:ascii="仿宋_GB2312" w:hAnsi="仿宋_GB2312" w:eastAsia="仿宋_GB2312" w:cs="仿宋_GB2312"/>
          <w:b/>
          <w:bCs/>
          <w:snapToGrid w:val="0"/>
          <w:color w:val="000000"/>
          <w:spacing w:val="-5"/>
          <w:kern w:val="0"/>
          <w:position w:val="12"/>
          <w:sz w:val="32"/>
          <w:szCs w:val="32"/>
          <w:lang w:val="en-US" w:eastAsia="zh-CN" w:bidi="ar-SA"/>
        </w:rPr>
      </w:pPr>
      <w:r>
        <w:rPr>
          <w:rFonts w:hint="eastAsia" w:ascii="仿宋_GB2312" w:hAnsi="仿宋_GB2312" w:eastAsia="仿宋_GB2312" w:cs="仿宋_GB2312"/>
          <w:b/>
          <w:bCs/>
          <w:snapToGrid w:val="0"/>
          <w:color w:val="000000"/>
          <w:spacing w:val="-5"/>
          <w:kern w:val="0"/>
          <w:position w:val="12"/>
          <w:sz w:val="32"/>
          <w:szCs w:val="32"/>
          <w:lang w:val="en-US" w:eastAsia="zh-CN" w:bidi="ar-SA"/>
        </w:rPr>
        <w:t>支持金额：</w:t>
      </w:r>
      <w:r>
        <w:rPr>
          <w:rFonts w:hint="eastAsia" w:ascii="Times New Roman" w:hAnsi="Times New Roman" w:eastAsia="仿宋" w:cs="Times New Roman"/>
          <w:b w:val="0"/>
          <w:bCs w:val="0"/>
          <w:snapToGrid w:val="0"/>
          <w:color w:val="000000"/>
          <w:spacing w:val="-5"/>
          <w:kern w:val="0"/>
          <w:position w:val="12"/>
          <w:sz w:val="32"/>
          <w:szCs w:val="32"/>
          <w:lang w:val="en-US" w:eastAsia="zh-CN" w:bidi="ar-SA"/>
        </w:rPr>
        <w:t>4万元。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4362BB-D8C0-4A17-B304-7F8A694EA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2FCB579-3920-4BE6-BE8C-4103C6E95E33}"/>
  </w:font>
  <w:font w:name="仿宋">
    <w:panose1 w:val="02010609060101010101"/>
    <w:charset w:val="86"/>
    <w:family w:val="auto"/>
    <w:pitch w:val="default"/>
    <w:sig w:usb0="800002BF" w:usb1="38CF7CFA" w:usb2="00000016" w:usb3="00000000" w:csb0="00040001" w:csb1="00000000"/>
    <w:embedRegular r:id="rId3" w:fontKey="{F5337C6D-32E0-4503-8452-7A1B8369D5B7}"/>
  </w:font>
  <w:font w:name="仿宋_GB2312">
    <w:panose1 w:val="02010609030101010101"/>
    <w:charset w:val="86"/>
    <w:family w:val="auto"/>
    <w:pitch w:val="default"/>
    <w:sig w:usb0="00000001" w:usb1="080E0000" w:usb2="00000000" w:usb3="00000000" w:csb0="00040000" w:csb1="00000000"/>
    <w:embedRegular r:id="rId4" w:fontKey="{648D9340-32E4-45DE-A903-0B978CC3C3C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F479D"/>
    <w:rsid w:val="1ED34A32"/>
    <w:rsid w:val="537F479D"/>
    <w:rsid w:val="579D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4237</Words>
  <Characters>4421</Characters>
  <Lines>0</Lines>
  <Paragraphs>0</Paragraphs>
  <TotalTime>32</TotalTime>
  <ScaleCrop>false</ScaleCrop>
  <LinksUpToDate>false</LinksUpToDate>
  <CharactersWithSpaces>4470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2025-10-24T06:25:00Z</dcterms:created>
  <dc:creator>小小藝</dc:creator>
  <cp:lastModifiedBy>小小藝</cp:lastModifiedBy>
  <cp:lastPrinted>2025-10-30T07:49:36Z</cp:lastPrinted>
  <dcterms:modified xsi:type="dcterms:W3CDTF">2025-10-30T07:49:47Z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B5BC7A7F3DD848C199BFB96864CD3C88_11</vt:lpwstr>
  </property>
  <property fmtid="{D5CDD505-2E9C-101B-9397-08002B2CF9AE}" pid="4" name="KSOTemplateDocerSaveRecord">
    <vt:lpwstr>eyJoZGlkIjoiYzZmMDYyNzNhMjZlYjllOGE1NzQ3Y2Y3ODRlNTBiY2EiLCJ1c2VySWQiOiIxMjMyOTgyMzM5In0=</vt:lpwstr>
  </property>
</Properties>
</file>