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55F8"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附件1</w:t>
      </w:r>
    </w:p>
    <w:p w14:paraId="0F3E0EE0">
      <w:pPr>
        <w:numPr>
          <w:ilvl w:val="255"/>
          <w:numId w:val="0"/>
        </w:numPr>
        <w:spacing w:line="600" w:lineRule="exact"/>
        <w:jc w:val="center"/>
        <w:rPr>
          <w:rFonts w:ascii="Times New Roman" w:hAnsi="Times New Roman" w:eastAsia="方正小标宋_GBK" w:cs="Times New Roman"/>
          <w:spacing w:val="-5"/>
          <w:position w:val="12"/>
          <w:sz w:val="40"/>
          <w:szCs w:val="40"/>
          <w:lang w:eastAsia="zh-CN"/>
        </w:rPr>
      </w:pPr>
    </w:p>
    <w:p w14:paraId="0DBBF132">
      <w:pPr>
        <w:numPr>
          <w:ilvl w:val="255"/>
          <w:numId w:val="0"/>
        </w:numPr>
        <w:spacing w:line="560" w:lineRule="exact"/>
        <w:jc w:val="center"/>
        <w:rPr>
          <w:rFonts w:ascii="Times New Roman" w:hAnsi="Times New Roman" w:eastAsia="方正小标宋_GBK" w:cs="Times New Roman"/>
          <w:spacing w:val="-5"/>
          <w:position w:val="12"/>
          <w:sz w:val="40"/>
          <w:szCs w:val="40"/>
          <w:lang w:eastAsia="zh-CN"/>
        </w:rPr>
      </w:pPr>
      <w:bookmarkStart w:id="0" w:name="_GoBack"/>
      <w:r>
        <w:rPr>
          <w:rFonts w:ascii="Times New Roman" w:hAnsi="Times New Roman" w:eastAsia="方正小标宋_GBK" w:cs="Times New Roman"/>
          <w:spacing w:val="-5"/>
          <w:position w:val="12"/>
          <w:sz w:val="40"/>
          <w:szCs w:val="40"/>
          <w:lang w:eastAsia="zh-CN"/>
        </w:rPr>
        <w:t>四川省预防医学会2026年度肺癌防治专项</w:t>
      </w:r>
    </w:p>
    <w:p w14:paraId="567C44E1">
      <w:pPr>
        <w:numPr>
          <w:ilvl w:val="255"/>
          <w:numId w:val="0"/>
        </w:numPr>
        <w:spacing w:line="560" w:lineRule="exact"/>
        <w:jc w:val="center"/>
        <w:rPr>
          <w:rFonts w:ascii="Times New Roman" w:hAnsi="Times New Roman" w:eastAsia="方正小标宋_GBK" w:cs="Times New Roman"/>
          <w:spacing w:val="-5"/>
          <w:position w:val="12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spacing w:val="-5"/>
          <w:position w:val="12"/>
          <w:sz w:val="40"/>
          <w:szCs w:val="40"/>
          <w:lang w:eastAsia="zh-CN"/>
        </w:rPr>
        <w:t>科研项目申报指南</w:t>
      </w:r>
    </w:p>
    <w:bookmarkEnd w:id="0"/>
    <w:p w14:paraId="01C97A24">
      <w:pPr>
        <w:numPr>
          <w:ilvl w:val="255"/>
          <w:numId w:val="0"/>
        </w:numPr>
        <w:spacing w:line="560" w:lineRule="exact"/>
        <w:jc w:val="center"/>
        <w:rPr>
          <w:rFonts w:ascii="Times New Roman" w:hAnsi="Times New Roman" w:eastAsia="方正小标宋_GBK" w:cs="Times New Roman"/>
          <w:spacing w:val="-5"/>
          <w:position w:val="12"/>
          <w:sz w:val="40"/>
          <w:szCs w:val="40"/>
          <w:lang w:eastAsia="zh-CN"/>
        </w:rPr>
      </w:pPr>
    </w:p>
    <w:p w14:paraId="71097E3B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本项目分为临床类研究与基础类研究，均应紧密围绕肺癌相关的慢性病防控、</w:t>
      </w:r>
      <w:r>
        <w:rPr>
          <w:rFonts w:hint="eastAsia"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重点人群健康教育与健康促进、健康服务研究</w:t>
      </w: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等核心领域展开，旨在通过科学的方法与技术创新，提升肺癌防治的能力与水平。项目执行期为立项日期起12个月。</w:t>
      </w:r>
    </w:p>
    <w:p w14:paraId="55C4D6C3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黑体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5"/>
          <w:position w:val="12"/>
          <w:sz w:val="32"/>
          <w:szCs w:val="32"/>
          <w:lang w:eastAsia="zh-CN"/>
        </w:rPr>
        <w:t>一、临床类研究资助方向</w:t>
      </w:r>
    </w:p>
    <w:p w14:paraId="50DC5871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1.肺癌预防及早诊相关方法及技术；</w:t>
      </w:r>
    </w:p>
    <w:p w14:paraId="2ED7498C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2.肺癌诊治围术期全流程管理体系的建立；</w:t>
      </w:r>
    </w:p>
    <w:p w14:paraId="4BD1A805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3.肺癌治疗后随访体系的构建；</w:t>
      </w:r>
    </w:p>
    <w:p w14:paraId="1C50FA84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4.肺癌围术期慢病管理方案；</w:t>
      </w:r>
    </w:p>
    <w:p w14:paraId="3D31CC68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5.中晚期肺癌的多学科诊疗（MDT）优化路径；</w:t>
      </w:r>
    </w:p>
    <w:p w14:paraId="4DB51092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6.中晚期肺癌围术期加速康复外科综合路径建立；</w:t>
      </w:r>
    </w:p>
    <w:p w14:paraId="6C56F82F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黑体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7.肺癌围术期舒适化病房的实施与改进。</w:t>
      </w:r>
    </w:p>
    <w:p w14:paraId="58A2266F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黑体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5"/>
          <w:position w:val="12"/>
          <w:sz w:val="32"/>
          <w:szCs w:val="32"/>
          <w:lang w:eastAsia="zh-CN"/>
        </w:rPr>
        <w:t>二、基础类研究资助方向</w:t>
      </w:r>
    </w:p>
    <w:p w14:paraId="329A267F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1.肺癌免疫抑制剂耐药的机制研究；</w:t>
      </w:r>
    </w:p>
    <w:p w14:paraId="086F5E18">
      <w:pPr>
        <w:numPr>
          <w:ilvl w:val="255"/>
          <w:numId w:val="0"/>
        </w:numPr>
        <w:spacing w:line="560" w:lineRule="exact"/>
        <w:ind w:firstLine="620" w:firstLineChars="200"/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2.肺癌进展与免疫微环境的机制研究；</w:t>
      </w:r>
    </w:p>
    <w:tbl>
      <w:tblPr>
        <w:tblStyle w:val="3"/>
        <w:tblpPr w:leftFromText="180" w:rightFromText="180" w:vertAnchor="text" w:horzAnchor="page" w:tblpXSpec="center" w:tblpY="597"/>
        <w:tblOverlap w:val="never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839"/>
        <w:gridCol w:w="1128"/>
        <w:gridCol w:w="2028"/>
      </w:tblGrid>
      <w:tr w14:paraId="0402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</w:tcPr>
          <w:p w14:paraId="0883222D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项目方向编号</w:t>
            </w:r>
          </w:p>
        </w:tc>
        <w:tc>
          <w:tcPr>
            <w:tcW w:w="3839" w:type="dxa"/>
          </w:tcPr>
          <w:p w14:paraId="22823402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1128" w:type="dxa"/>
          </w:tcPr>
          <w:p w14:paraId="2B0715C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数量</w:t>
            </w:r>
          </w:p>
          <w:p w14:paraId="49583AD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（项）</w:t>
            </w:r>
          </w:p>
        </w:tc>
        <w:tc>
          <w:tcPr>
            <w:tcW w:w="2028" w:type="dxa"/>
          </w:tcPr>
          <w:p w14:paraId="693B9EB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单项资助经费</w:t>
            </w:r>
          </w:p>
          <w:p w14:paraId="59D272C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（万元）</w:t>
            </w:r>
          </w:p>
        </w:tc>
      </w:tr>
      <w:tr w14:paraId="0709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</w:tcPr>
          <w:p w14:paraId="27B02BF3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SYYHFAZX202601</w:t>
            </w:r>
          </w:p>
        </w:tc>
        <w:tc>
          <w:tcPr>
            <w:tcW w:w="3839" w:type="dxa"/>
            <w:vAlign w:val="center"/>
          </w:tcPr>
          <w:p w14:paraId="25DCBBEE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临床研究类</w:t>
            </w:r>
          </w:p>
        </w:tc>
        <w:tc>
          <w:tcPr>
            <w:tcW w:w="1128" w:type="dxa"/>
          </w:tcPr>
          <w:p w14:paraId="4D0CBC59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028" w:type="dxa"/>
          </w:tcPr>
          <w:p w14:paraId="53C9C095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1.0</w:t>
            </w:r>
          </w:p>
        </w:tc>
      </w:tr>
      <w:tr w14:paraId="0AF5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</w:tcPr>
          <w:p w14:paraId="2ED7E817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SYYHFAZX202602</w:t>
            </w:r>
          </w:p>
        </w:tc>
        <w:tc>
          <w:tcPr>
            <w:tcW w:w="3839" w:type="dxa"/>
            <w:vAlign w:val="center"/>
          </w:tcPr>
          <w:p w14:paraId="247A0EF8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基础研究类</w:t>
            </w:r>
          </w:p>
        </w:tc>
        <w:tc>
          <w:tcPr>
            <w:tcW w:w="1128" w:type="dxa"/>
          </w:tcPr>
          <w:p w14:paraId="310D11FD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28" w:type="dxa"/>
          </w:tcPr>
          <w:p w14:paraId="49CE5F29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eastAsia="zh-CN"/>
              </w:rPr>
              <w:t>1.0</w:t>
            </w:r>
          </w:p>
        </w:tc>
      </w:tr>
    </w:tbl>
    <w:p w14:paraId="45858470">
      <w:pPr>
        <w:ind w:firstLine="620" w:firstLineChars="200"/>
      </w:pPr>
      <w:r>
        <w:rPr>
          <w:rFonts w:ascii="Times New Roman" w:hAnsi="Times New Roman" w:eastAsia="仿宋" w:cs="Times New Roman"/>
          <w:spacing w:val="-5"/>
          <w:position w:val="12"/>
          <w:sz w:val="32"/>
          <w:szCs w:val="32"/>
          <w:lang w:eastAsia="zh-CN"/>
        </w:rPr>
        <w:t>3.肺癌器官转移及临床预测相关研究。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2F7C71-995F-4689-AF03-C2AD57B619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A6BA545-2634-4324-968D-83FA6D70A8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FF3DBF4-A209-4A0B-9DFD-F233A6148E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3803F2-91E3-4F11-811E-A7123233CD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60224"/>
    <w:rsid w:val="4B7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2026-01-27T03:38:00Z</dcterms:created>
  <dc:creator>小小藝</dc:creator>
  <cp:lastModifiedBy>小小藝</cp:lastModifiedBy>
  <dcterms:modified xsi:type="dcterms:W3CDTF">2026-01-27T03:38:48Z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93B3011CA17A4BFDAF5398CB71211A34_11</vt:lpwstr>
  </property>
  <property fmtid="{D5CDD505-2E9C-101B-9397-08002B2CF9AE}" pid="4" name="KSOTemplateDocerSaveRecord">
    <vt:lpwstr>eyJoZGlkIjoiYzhkYTM1MTkyMTIwMTNiODY0NzU4NjdhZjg4Njg4MDkiLCJ1c2VySWQiOiIxMjMyOTgyMzM5In0=</vt:lpwstr>
  </property>
</Properties>
</file>